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88E" w14:textId="74F6120D" w:rsidR="00961B89" w:rsidRPr="004669FF" w:rsidRDefault="000842A7" w:rsidP="00961B89">
      <w:pPr>
        <w:jc w:val="center"/>
        <w:rPr>
          <w:rFonts w:ascii="Arial" w:hAnsi="Arial" w:cs="Arial"/>
          <w:b/>
          <w:color w:val="4472C4" w:themeColor="accent1"/>
        </w:rPr>
      </w:pPr>
      <w:r w:rsidRPr="004669FF">
        <w:rPr>
          <w:rFonts w:ascii="Arial" w:hAnsi="Arial" w:cs="Arial"/>
          <w:b/>
          <w:color w:val="4472C4" w:themeColor="accent1"/>
        </w:rPr>
        <w:t>PEDSnet Scholars</w:t>
      </w:r>
      <w:r w:rsidR="00B04D13" w:rsidRPr="004669FF">
        <w:rPr>
          <w:rFonts w:ascii="Arial" w:hAnsi="Arial" w:cs="Arial"/>
          <w:b/>
          <w:color w:val="4472C4" w:themeColor="accent1"/>
        </w:rPr>
        <w:t xml:space="preserve"> </w:t>
      </w:r>
      <w:r w:rsidR="005E2C2E" w:rsidRPr="004669FF">
        <w:rPr>
          <w:rFonts w:ascii="Arial" w:hAnsi="Arial" w:cs="Arial"/>
          <w:b/>
          <w:color w:val="4472C4" w:themeColor="accent1"/>
        </w:rPr>
        <w:t>Program Description</w:t>
      </w:r>
      <w:r w:rsidRPr="004669FF">
        <w:rPr>
          <w:rFonts w:ascii="Arial" w:hAnsi="Arial" w:cs="Arial"/>
          <w:b/>
          <w:color w:val="4472C4" w:themeColor="accent1"/>
        </w:rPr>
        <w:t>:</w:t>
      </w:r>
    </w:p>
    <w:p w14:paraId="5BEA0D96" w14:textId="1F1F6BFE" w:rsidR="000842A7" w:rsidRPr="004669FF" w:rsidRDefault="000842A7" w:rsidP="00961B89">
      <w:pPr>
        <w:jc w:val="center"/>
        <w:rPr>
          <w:rFonts w:ascii="Arial" w:hAnsi="Arial" w:cs="Arial"/>
          <w:i/>
          <w:color w:val="4472C4" w:themeColor="accent1"/>
        </w:rPr>
      </w:pPr>
      <w:r w:rsidRPr="004669FF">
        <w:rPr>
          <w:rFonts w:ascii="Arial" w:hAnsi="Arial" w:cs="Arial"/>
          <w:b/>
          <w:i/>
          <w:color w:val="4472C4" w:themeColor="accent1"/>
        </w:rPr>
        <w:t xml:space="preserve">A </w:t>
      </w:r>
      <w:r w:rsidR="0008023E" w:rsidRPr="004669FF">
        <w:rPr>
          <w:rFonts w:ascii="Arial" w:hAnsi="Arial" w:cs="Arial"/>
          <w:b/>
          <w:i/>
          <w:color w:val="4472C4" w:themeColor="accent1"/>
        </w:rPr>
        <w:t xml:space="preserve">Career Development </w:t>
      </w:r>
      <w:r w:rsidR="00C74002" w:rsidRPr="004669FF">
        <w:rPr>
          <w:rFonts w:ascii="Arial" w:hAnsi="Arial" w:cs="Arial"/>
          <w:b/>
          <w:i/>
          <w:color w:val="4472C4" w:themeColor="accent1"/>
        </w:rPr>
        <w:t xml:space="preserve">Program for </w:t>
      </w:r>
      <w:r w:rsidR="00293016" w:rsidRPr="004669FF">
        <w:rPr>
          <w:rFonts w:ascii="Arial" w:hAnsi="Arial" w:cs="Arial"/>
          <w:b/>
          <w:i/>
          <w:color w:val="4472C4" w:themeColor="accent1"/>
        </w:rPr>
        <w:t>Faculty Interested</w:t>
      </w:r>
      <w:r w:rsidR="00C74002" w:rsidRPr="004669FF">
        <w:rPr>
          <w:rFonts w:ascii="Arial" w:hAnsi="Arial" w:cs="Arial"/>
          <w:b/>
          <w:i/>
          <w:color w:val="4472C4" w:themeColor="accent1"/>
        </w:rPr>
        <w:t xml:space="preserve"> in </w:t>
      </w:r>
      <w:r w:rsidR="00B04D13" w:rsidRPr="004669FF">
        <w:rPr>
          <w:rFonts w:ascii="Arial" w:hAnsi="Arial" w:cs="Arial"/>
          <w:b/>
          <w:i/>
          <w:color w:val="4472C4" w:themeColor="accent1"/>
        </w:rPr>
        <w:t xml:space="preserve">Pediatric </w:t>
      </w:r>
      <w:r w:rsidRPr="004669FF">
        <w:rPr>
          <w:rFonts w:ascii="Arial" w:hAnsi="Arial" w:cs="Arial"/>
          <w:b/>
          <w:i/>
          <w:color w:val="4472C4" w:themeColor="accent1"/>
        </w:rPr>
        <w:t>Learning Health System</w:t>
      </w:r>
      <w:r w:rsidR="00961B89" w:rsidRPr="004669FF">
        <w:rPr>
          <w:rFonts w:ascii="Arial" w:hAnsi="Arial" w:cs="Arial"/>
          <w:b/>
          <w:i/>
          <w:color w:val="4472C4" w:themeColor="accent1"/>
        </w:rPr>
        <w:t>s</w:t>
      </w:r>
      <w:r w:rsidRPr="004669FF">
        <w:rPr>
          <w:rFonts w:ascii="Arial" w:hAnsi="Arial" w:cs="Arial"/>
          <w:b/>
          <w:i/>
          <w:color w:val="4472C4" w:themeColor="accent1"/>
        </w:rPr>
        <w:t xml:space="preserve"> </w:t>
      </w:r>
      <w:r w:rsidR="00E45125" w:rsidRPr="004669FF">
        <w:rPr>
          <w:rFonts w:ascii="Arial" w:hAnsi="Arial" w:cs="Arial"/>
          <w:b/>
          <w:i/>
          <w:color w:val="4472C4" w:themeColor="accent1"/>
        </w:rPr>
        <w:t xml:space="preserve">Science and </w:t>
      </w:r>
      <w:r w:rsidRPr="004669FF">
        <w:rPr>
          <w:rFonts w:ascii="Arial" w:hAnsi="Arial" w:cs="Arial"/>
          <w:b/>
          <w:i/>
          <w:color w:val="4472C4" w:themeColor="accent1"/>
        </w:rPr>
        <w:t>Researc</w:t>
      </w:r>
      <w:r w:rsidR="00C74002" w:rsidRPr="004669FF">
        <w:rPr>
          <w:rFonts w:ascii="Arial" w:hAnsi="Arial" w:cs="Arial"/>
          <w:b/>
          <w:i/>
          <w:color w:val="4472C4" w:themeColor="accent1"/>
        </w:rPr>
        <w:t>h</w:t>
      </w:r>
    </w:p>
    <w:p w14:paraId="3D1810B4" w14:textId="77777777" w:rsidR="000842A7" w:rsidRPr="00E4287A" w:rsidRDefault="000842A7">
      <w:pPr>
        <w:rPr>
          <w:rFonts w:ascii="Arial" w:hAnsi="Arial" w:cs="Arial"/>
          <w:color w:val="000000" w:themeColor="text1"/>
        </w:rPr>
      </w:pPr>
    </w:p>
    <w:p w14:paraId="0D5A62B2" w14:textId="1065224C" w:rsidR="003D3CB1" w:rsidRPr="00E4287A" w:rsidRDefault="003D3CB1" w:rsidP="003D3CB1">
      <w:pPr>
        <w:pStyle w:val="Default"/>
        <w:rPr>
          <w:color w:val="000000" w:themeColor="text1"/>
        </w:rPr>
      </w:pPr>
      <w:r w:rsidRPr="00E4287A">
        <w:rPr>
          <w:color w:val="000000" w:themeColor="text1"/>
        </w:rPr>
        <w:t>The PEDSnet Scholar</w:t>
      </w:r>
      <w:r w:rsidR="00961B89" w:rsidRPr="00E4287A">
        <w:rPr>
          <w:color w:val="000000" w:themeColor="text1"/>
        </w:rPr>
        <w:t>s</w:t>
      </w:r>
      <w:r w:rsidRPr="00E4287A">
        <w:rPr>
          <w:color w:val="000000" w:themeColor="text1"/>
        </w:rPr>
        <w:t xml:space="preserve"> Program is a K12 career development program</w:t>
      </w:r>
      <w:r w:rsidR="00961B89" w:rsidRPr="00E4287A">
        <w:rPr>
          <w:color w:val="000000" w:themeColor="text1"/>
        </w:rPr>
        <w:t xml:space="preserve"> funded by the Agency for Healthcare Research and Quality</w:t>
      </w:r>
      <w:r w:rsidR="009076A0" w:rsidRPr="00E4287A">
        <w:rPr>
          <w:color w:val="000000" w:themeColor="text1"/>
        </w:rPr>
        <w:t xml:space="preserve"> </w:t>
      </w:r>
      <w:r w:rsidR="006B5455" w:rsidRPr="00E4287A">
        <w:rPr>
          <w:color w:val="000000" w:themeColor="text1"/>
        </w:rPr>
        <w:t xml:space="preserve">(AHRQ) </w:t>
      </w:r>
      <w:r w:rsidR="009076A0" w:rsidRPr="00E4287A">
        <w:rPr>
          <w:color w:val="000000" w:themeColor="text1"/>
        </w:rPr>
        <w:t>and the Patient-Centered Outcomes Research Institute</w:t>
      </w:r>
      <w:r w:rsidR="00060C19" w:rsidRPr="00E4287A">
        <w:rPr>
          <w:color w:val="000000" w:themeColor="text1"/>
        </w:rPr>
        <w:t xml:space="preserve"> (PCORI)</w:t>
      </w:r>
      <w:r w:rsidR="00961B89" w:rsidRPr="00E4287A">
        <w:rPr>
          <w:color w:val="000000" w:themeColor="text1"/>
        </w:rPr>
        <w:t xml:space="preserve">. </w:t>
      </w:r>
      <w:r w:rsidR="00060C19" w:rsidRPr="00E4287A">
        <w:rPr>
          <w:color w:val="000000" w:themeColor="text1"/>
        </w:rPr>
        <w:t>The program</w:t>
      </w:r>
      <w:r w:rsidR="00961B89" w:rsidRPr="00E4287A">
        <w:rPr>
          <w:color w:val="000000" w:themeColor="text1"/>
        </w:rPr>
        <w:t xml:space="preserve"> is</w:t>
      </w:r>
      <w:r w:rsidRPr="00E4287A">
        <w:rPr>
          <w:color w:val="000000" w:themeColor="text1"/>
        </w:rPr>
        <w:t xml:space="preserve"> designed to prepare promising faculty to conduct learning health system </w:t>
      </w:r>
      <w:r w:rsidR="00035B7C" w:rsidRPr="00E4287A">
        <w:rPr>
          <w:color w:val="000000" w:themeColor="text1"/>
        </w:rPr>
        <w:t xml:space="preserve">(LHS) </w:t>
      </w:r>
      <w:r w:rsidR="00E45125" w:rsidRPr="00E4287A">
        <w:rPr>
          <w:color w:val="000000" w:themeColor="text1"/>
        </w:rPr>
        <w:t xml:space="preserve">science and </w:t>
      </w:r>
      <w:r w:rsidRPr="00E4287A">
        <w:rPr>
          <w:color w:val="000000" w:themeColor="text1"/>
        </w:rPr>
        <w:t xml:space="preserve">research that will improve </w:t>
      </w:r>
      <w:r w:rsidR="00C85ACE" w:rsidRPr="00E4287A">
        <w:rPr>
          <w:color w:val="000000" w:themeColor="text1"/>
        </w:rPr>
        <w:t xml:space="preserve">the </w:t>
      </w:r>
      <w:r w:rsidR="00035B7C" w:rsidRPr="00E4287A">
        <w:rPr>
          <w:color w:val="000000" w:themeColor="text1"/>
        </w:rPr>
        <w:t>efficiency</w:t>
      </w:r>
      <w:r w:rsidR="009076A0" w:rsidRPr="00E4287A">
        <w:rPr>
          <w:color w:val="000000" w:themeColor="text1"/>
        </w:rPr>
        <w:t xml:space="preserve"> </w:t>
      </w:r>
      <w:r w:rsidR="00035B7C" w:rsidRPr="00E4287A">
        <w:rPr>
          <w:color w:val="000000" w:themeColor="text1"/>
        </w:rPr>
        <w:t>and quality of health</w:t>
      </w:r>
      <w:r w:rsidRPr="00E4287A">
        <w:rPr>
          <w:color w:val="000000" w:themeColor="text1"/>
        </w:rPr>
        <w:t xml:space="preserve">care and </w:t>
      </w:r>
      <w:r w:rsidR="009076A0" w:rsidRPr="00E4287A">
        <w:rPr>
          <w:color w:val="000000" w:themeColor="text1"/>
        </w:rPr>
        <w:t xml:space="preserve">health </w:t>
      </w:r>
      <w:r w:rsidRPr="00E4287A">
        <w:rPr>
          <w:color w:val="000000" w:themeColor="text1"/>
        </w:rPr>
        <w:t>outcomes for children</w:t>
      </w:r>
      <w:r w:rsidR="00961B89" w:rsidRPr="00E4287A">
        <w:rPr>
          <w:color w:val="000000" w:themeColor="text1"/>
        </w:rPr>
        <w:t xml:space="preserve"> and their families</w:t>
      </w:r>
      <w:r w:rsidRPr="00E4287A">
        <w:rPr>
          <w:color w:val="000000" w:themeColor="text1"/>
        </w:rPr>
        <w:t xml:space="preserve">. </w:t>
      </w:r>
      <w:r w:rsidR="002B7165" w:rsidRPr="00E4287A">
        <w:rPr>
          <w:color w:val="000000" w:themeColor="text1"/>
        </w:rPr>
        <w:t>This may include</w:t>
      </w:r>
      <w:r w:rsidR="00ED32DA" w:rsidRPr="00E4287A">
        <w:rPr>
          <w:color w:val="000000" w:themeColor="text1"/>
        </w:rPr>
        <w:t xml:space="preserve"> junior faculty or individuals seeking to expand their methodological expertise into learning health system science and research.  </w:t>
      </w:r>
      <w:r w:rsidRPr="00E4287A">
        <w:rPr>
          <w:color w:val="000000" w:themeColor="text1"/>
        </w:rPr>
        <w:t xml:space="preserve">It builds upon prior efforts of a multidisciplinary faculty with decades of experience in research mentorship and the resources of </w:t>
      </w:r>
      <w:hyperlink r:id="rId7" w:history="1">
        <w:r w:rsidR="00E45125" w:rsidRPr="00E4287A">
          <w:rPr>
            <w:rStyle w:val="Hyperlink"/>
            <w:color w:val="000000" w:themeColor="text1"/>
            <w:u w:val="none"/>
          </w:rPr>
          <w:t>nationally renowned pediatric academic medical centers</w:t>
        </w:r>
      </w:hyperlink>
      <w:r w:rsidRPr="00E4287A">
        <w:rPr>
          <w:color w:val="000000" w:themeColor="text1"/>
        </w:rPr>
        <w:t xml:space="preserve"> that already collaborate in the </w:t>
      </w:r>
      <w:hyperlink r:id="rId8" w:history="1">
        <w:r w:rsidRPr="00E4287A">
          <w:rPr>
            <w:rStyle w:val="Hyperlink"/>
            <w:color w:val="000000" w:themeColor="text1"/>
            <w:u w:val="none"/>
          </w:rPr>
          <w:t>PEDSnet</w:t>
        </w:r>
      </w:hyperlink>
      <w:r w:rsidRPr="00E4287A">
        <w:rPr>
          <w:color w:val="000000" w:themeColor="text1"/>
        </w:rPr>
        <w:t xml:space="preserve"> clinical research network</w:t>
      </w:r>
      <w:r w:rsidR="003169ED" w:rsidRPr="00E4287A">
        <w:rPr>
          <w:color w:val="000000" w:themeColor="text1"/>
        </w:rPr>
        <w:t xml:space="preserve"> </w:t>
      </w:r>
      <w:r w:rsidR="003169ED" w:rsidRPr="00E4287A">
        <w:t>(pedsnet.org)</w:t>
      </w:r>
      <w:r w:rsidRPr="00E4287A">
        <w:rPr>
          <w:color w:val="000000" w:themeColor="text1"/>
        </w:rPr>
        <w:t xml:space="preserve">. </w:t>
      </w:r>
      <w:r w:rsidR="00035B7C" w:rsidRPr="00E4287A">
        <w:rPr>
          <w:color w:val="000000" w:themeColor="text1"/>
        </w:rPr>
        <w:t>PEDSnet</w:t>
      </w:r>
      <w:r w:rsidRPr="00E4287A">
        <w:rPr>
          <w:color w:val="000000" w:themeColor="text1"/>
        </w:rPr>
        <w:t xml:space="preserve"> scholars will </w:t>
      </w:r>
      <w:r w:rsidR="00035B7C" w:rsidRPr="00E4287A">
        <w:rPr>
          <w:color w:val="000000" w:themeColor="text1"/>
        </w:rPr>
        <w:t xml:space="preserve">learn and </w:t>
      </w:r>
      <w:r w:rsidRPr="00E4287A">
        <w:rPr>
          <w:color w:val="000000" w:themeColor="text1"/>
        </w:rPr>
        <w:t xml:space="preserve">use new methods that leverage modern </w:t>
      </w:r>
      <w:r w:rsidR="00035B7C" w:rsidRPr="00E4287A">
        <w:rPr>
          <w:color w:val="000000" w:themeColor="text1"/>
        </w:rPr>
        <w:t xml:space="preserve">clinical </w:t>
      </w:r>
      <w:r w:rsidRPr="00E4287A">
        <w:rPr>
          <w:color w:val="000000" w:themeColor="text1"/>
        </w:rPr>
        <w:t xml:space="preserve">data systems and test interventions in pragmatic child/family-centered outcomes research studies, embedded in diverse delivery systems and communities. </w:t>
      </w:r>
    </w:p>
    <w:p w14:paraId="5F88FF62" w14:textId="77777777" w:rsidR="00127538" w:rsidRPr="00E4287A" w:rsidRDefault="00127538" w:rsidP="003D3CB1">
      <w:pPr>
        <w:pStyle w:val="Default"/>
        <w:rPr>
          <w:color w:val="000000" w:themeColor="text1"/>
        </w:rPr>
      </w:pPr>
    </w:p>
    <w:p w14:paraId="25BA3FB3" w14:textId="13B7D89D" w:rsidR="00127538" w:rsidRPr="00E4287A" w:rsidRDefault="00C61D89" w:rsidP="00127538">
      <w:pPr>
        <w:pStyle w:val="Foo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refer to</w:t>
      </w:r>
      <w:r w:rsidRPr="00E4287A">
        <w:rPr>
          <w:rFonts w:ascii="Arial" w:hAnsi="Arial" w:cs="Arial"/>
          <w:color w:val="000000" w:themeColor="text1"/>
        </w:rPr>
        <w:t xml:space="preserve"> </w:t>
      </w:r>
      <w:r w:rsidR="00127538" w:rsidRPr="00E4287A">
        <w:rPr>
          <w:rFonts w:ascii="Arial" w:hAnsi="Arial" w:cs="Arial"/>
          <w:color w:val="000000" w:themeColor="text1"/>
        </w:rPr>
        <w:t xml:space="preserve">the following article for more information on learning health systems research and its training competencies: </w:t>
      </w:r>
      <w:r w:rsidR="00127538" w:rsidRPr="00E4287A">
        <w:rPr>
          <w:rFonts w:ascii="Arial" w:hAnsi="Arial" w:cs="Arial"/>
          <w:i/>
          <w:color w:val="000000" w:themeColor="text1"/>
        </w:rPr>
        <w:t xml:space="preserve">Forrest CB, Chesley FD Jr, </w:t>
      </w:r>
      <w:proofErr w:type="spellStart"/>
      <w:r w:rsidR="00127538" w:rsidRPr="00E4287A">
        <w:rPr>
          <w:rFonts w:ascii="Arial" w:hAnsi="Arial" w:cs="Arial"/>
          <w:i/>
          <w:color w:val="000000" w:themeColor="text1"/>
        </w:rPr>
        <w:t>Tregear</w:t>
      </w:r>
      <w:proofErr w:type="spellEnd"/>
      <w:r w:rsidR="00127538" w:rsidRPr="00E4287A">
        <w:rPr>
          <w:rFonts w:ascii="Arial" w:hAnsi="Arial" w:cs="Arial"/>
          <w:i/>
          <w:color w:val="000000" w:themeColor="text1"/>
        </w:rPr>
        <w:t xml:space="preserve"> ML, Mistry KB. Health Serv Res. 2017 Aug 4. Development of the Learning Health System Researcher Core Competencies. </w:t>
      </w:r>
      <w:proofErr w:type="spellStart"/>
      <w:r w:rsidR="00127538" w:rsidRPr="00E4287A">
        <w:rPr>
          <w:rFonts w:ascii="Arial" w:hAnsi="Arial" w:cs="Arial"/>
          <w:i/>
          <w:color w:val="000000" w:themeColor="text1"/>
        </w:rPr>
        <w:t>doi</w:t>
      </w:r>
      <w:proofErr w:type="spellEnd"/>
      <w:r w:rsidR="00127538" w:rsidRPr="00E4287A">
        <w:rPr>
          <w:rFonts w:ascii="Arial" w:hAnsi="Arial" w:cs="Arial"/>
          <w:i/>
          <w:color w:val="000000" w:themeColor="text1"/>
        </w:rPr>
        <w:t>: 10.1111/1475-6773.12751.</w:t>
      </w:r>
    </w:p>
    <w:p w14:paraId="752A7B7C" w14:textId="77777777" w:rsidR="00127538" w:rsidRPr="00E4287A" w:rsidRDefault="00127538" w:rsidP="003D3CB1">
      <w:pPr>
        <w:pStyle w:val="Default"/>
        <w:rPr>
          <w:color w:val="000000" w:themeColor="text1"/>
        </w:rPr>
      </w:pPr>
    </w:p>
    <w:p w14:paraId="5110827D" w14:textId="4566CF5D" w:rsidR="00ED32DA" w:rsidRPr="00E4287A" w:rsidRDefault="003D3CB1" w:rsidP="005E2C2E">
      <w:pPr>
        <w:pStyle w:val="BodyText"/>
        <w:autoSpaceDE w:val="0"/>
        <w:autoSpaceDN w:val="0"/>
        <w:adjustRightInd w:val="0"/>
        <w:rPr>
          <w:rFonts w:ascii="Arial" w:hAnsi="Arial" w:cs="Arial"/>
        </w:rPr>
      </w:pPr>
      <w:r w:rsidRPr="00E4287A">
        <w:rPr>
          <w:rFonts w:ascii="Arial" w:hAnsi="Arial" w:cs="Arial"/>
          <w:color w:val="000000" w:themeColor="text1"/>
        </w:rPr>
        <w:t xml:space="preserve">The </w:t>
      </w:r>
      <w:r w:rsidR="00DD1B79" w:rsidRPr="00E4287A">
        <w:rPr>
          <w:rFonts w:ascii="Arial" w:hAnsi="Arial" w:cs="Arial"/>
          <w:b/>
          <w:color w:val="000000" w:themeColor="text1"/>
        </w:rPr>
        <w:t xml:space="preserve">Program Goals </w:t>
      </w:r>
      <w:r w:rsidRPr="00E4287A">
        <w:rPr>
          <w:rFonts w:ascii="Arial" w:hAnsi="Arial" w:cs="Arial"/>
          <w:color w:val="000000" w:themeColor="text1"/>
        </w:rPr>
        <w:t>are</w:t>
      </w:r>
      <w:r w:rsidR="00035B7C" w:rsidRPr="00E4287A">
        <w:rPr>
          <w:rFonts w:ascii="Arial" w:hAnsi="Arial" w:cs="Arial"/>
          <w:color w:val="000000" w:themeColor="text1"/>
        </w:rPr>
        <w:t xml:space="preserve"> to</w:t>
      </w:r>
      <w:r w:rsidR="005803D2" w:rsidRPr="00E4287A">
        <w:rPr>
          <w:rFonts w:ascii="Arial" w:hAnsi="Arial" w:cs="Arial"/>
          <w:color w:val="000000" w:themeColor="text1"/>
        </w:rPr>
        <w:t xml:space="preserve"> t</w:t>
      </w:r>
      <w:r w:rsidR="00692B82" w:rsidRPr="00E4287A">
        <w:rPr>
          <w:rFonts w:ascii="Arial" w:hAnsi="Arial" w:cs="Arial"/>
          <w:color w:val="000000" w:themeColor="text1"/>
        </w:rPr>
        <w:t>rain the next generation of P</w:t>
      </w:r>
      <w:r w:rsidR="00DD1B79" w:rsidRPr="00E4287A">
        <w:rPr>
          <w:rFonts w:ascii="Arial" w:hAnsi="Arial" w:cs="Arial"/>
          <w:color w:val="000000" w:themeColor="text1"/>
        </w:rPr>
        <w:t xml:space="preserve">ediatric Learning Health Systems researchers and </w:t>
      </w:r>
      <w:r w:rsidR="005803D2" w:rsidRPr="00E4287A">
        <w:rPr>
          <w:rFonts w:ascii="Arial" w:hAnsi="Arial" w:cs="Arial"/>
          <w:color w:val="000000" w:themeColor="text1"/>
        </w:rPr>
        <w:t>p</w:t>
      </w:r>
      <w:r w:rsidR="00DD1B79" w:rsidRPr="00E4287A">
        <w:rPr>
          <w:rFonts w:ascii="Arial" w:hAnsi="Arial" w:cs="Arial"/>
          <w:color w:val="000000" w:themeColor="text1"/>
        </w:rPr>
        <w:t xml:space="preserve">rovide value to </w:t>
      </w:r>
      <w:r w:rsidR="00692B82" w:rsidRPr="00E4287A">
        <w:rPr>
          <w:rFonts w:ascii="Arial" w:hAnsi="Arial" w:cs="Arial"/>
          <w:color w:val="000000" w:themeColor="text1"/>
        </w:rPr>
        <w:t>PEDSnet healthcare organizations by conducting research that is meaningful to patients, clinicians, caregivers, and</w:t>
      </w:r>
      <w:r w:rsidR="001963BA" w:rsidRPr="00E4287A">
        <w:rPr>
          <w:rFonts w:ascii="Arial" w:hAnsi="Arial" w:cs="Arial"/>
          <w:color w:val="000000" w:themeColor="text1"/>
        </w:rPr>
        <w:t>/or</w:t>
      </w:r>
      <w:r w:rsidR="00692B82" w:rsidRPr="00E4287A">
        <w:rPr>
          <w:rFonts w:ascii="Arial" w:hAnsi="Arial" w:cs="Arial"/>
          <w:color w:val="000000" w:themeColor="text1"/>
        </w:rPr>
        <w:t xml:space="preserve"> health system leaders</w:t>
      </w:r>
      <w:r w:rsidR="00DD1B79" w:rsidRPr="00E4287A">
        <w:rPr>
          <w:rFonts w:ascii="Arial" w:hAnsi="Arial" w:cs="Arial"/>
          <w:color w:val="000000" w:themeColor="text1"/>
        </w:rPr>
        <w:t xml:space="preserve">. </w:t>
      </w:r>
      <w:r w:rsidR="00ED32DA" w:rsidRPr="00E4287A">
        <w:rPr>
          <w:rFonts w:ascii="Arial" w:hAnsi="Arial" w:cs="Arial"/>
        </w:rPr>
        <w:t xml:space="preserve">The </w:t>
      </w:r>
      <w:r w:rsidR="00C33BBF" w:rsidRPr="00E4287A">
        <w:rPr>
          <w:rFonts w:ascii="Arial" w:hAnsi="Arial" w:cs="Arial"/>
          <w:b/>
        </w:rPr>
        <w:t>P</w:t>
      </w:r>
      <w:r w:rsidR="00ED32DA" w:rsidRPr="00E4287A">
        <w:rPr>
          <w:rFonts w:ascii="Arial" w:hAnsi="Arial" w:cs="Arial"/>
          <w:b/>
        </w:rPr>
        <w:t xml:space="preserve">rogram </w:t>
      </w:r>
      <w:r w:rsidR="00C33BBF" w:rsidRPr="00E4287A">
        <w:rPr>
          <w:rFonts w:ascii="Arial" w:hAnsi="Arial" w:cs="Arial"/>
          <w:b/>
        </w:rPr>
        <w:t>A</w:t>
      </w:r>
      <w:r w:rsidR="00ED32DA" w:rsidRPr="00E4287A">
        <w:rPr>
          <w:rFonts w:ascii="Arial" w:hAnsi="Arial" w:cs="Arial"/>
          <w:b/>
        </w:rPr>
        <w:t>ims</w:t>
      </w:r>
      <w:r w:rsidR="00ED32DA" w:rsidRPr="00E4287A">
        <w:rPr>
          <w:rFonts w:ascii="Arial" w:hAnsi="Arial" w:cs="Arial"/>
        </w:rPr>
        <w:t xml:space="preserve"> are to:</w:t>
      </w:r>
    </w:p>
    <w:p w14:paraId="016AD7A5" w14:textId="77777777" w:rsidR="00ED32DA" w:rsidRPr="00E4287A" w:rsidRDefault="00ED32DA" w:rsidP="00ED32DA">
      <w:pPr>
        <w:pStyle w:val="BodyText"/>
        <w:numPr>
          <w:ilvl w:val="0"/>
          <w:numId w:val="18"/>
        </w:numPr>
        <w:spacing w:before="3"/>
        <w:ind w:right="105"/>
        <w:rPr>
          <w:rFonts w:ascii="Arial" w:eastAsiaTheme="minorEastAsia" w:hAnsi="Arial" w:cs="Arial"/>
        </w:rPr>
      </w:pPr>
      <w:r w:rsidRPr="00E4287A">
        <w:rPr>
          <w:rFonts w:ascii="Arial" w:eastAsiaTheme="minorEastAsia" w:hAnsi="Arial" w:cs="Arial"/>
          <w:b/>
          <w:bCs/>
        </w:rPr>
        <w:t xml:space="preserve">Community: </w:t>
      </w:r>
      <w:r w:rsidRPr="00E4287A">
        <w:rPr>
          <w:rFonts w:ascii="Arial" w:eastAsiaTheme="minorEastAsia" w:hAnsi="Arial" w:cs="Arial"/>
        </w:rPr>
        <w:t>Create a community of junior faculty who will progress to be leaders in their institutions and the nation in Learning Health System science and research for children;</w:t>
      </w:r>
    </w:p>
    <w:p w14:paraId="7ADF8D6F" w14:textId="77777777" w:rsidR="00ED32DA" w:rsidRPr="00E4287A" w:rsidRDefault="00ED32DA" w:rsidP="00ED32DA">
      <w:pPr>
        <w:pStyle w:val="BodyText"/>
        <w:numPr>
          <w:ilvl w:val="0"/>
          <w:numId w:val="18"/>
        </w:numPr>
        <w:spacing w:before="3"/>
        <w:ind w:right="105"/>
        <w:rPr>
          <w:rFonts w:ascii="Arial" w:eastAsiaTheme="minorEastAsia" w:hAnsi="Arial" w:cs="Arial"/>
        </w:rPr>
      </w:pPr>
      <w:r w:rsidRPr="00E4287A">
        <w:rPr>
          <w:rFonts w:ascii="Arial" w:eastAsiaTheme="minorEastAsia" w:hAnsi="Arial" w:cs="Arial"/>
          <w:b/>
          <w:bCs/>
        </w:rPr>
        <w:t xml:space="preserve">Research: </w:t>
      </w:r>
      <w:r w:rsidRPr="00E4287A">
        <w:rPr>
          <w:rFonts w:ascii="Arial" w:eastAsiaTheme="minorEastAsia" w:hAnsi="Arial" w:cs="Arial"/>
        </w:rPr>
        <w:t>Support scholars in the conduct of patient-centered outcomes research in the context of their local Learning Health System;</w:t>
      </w:r>
    </w:p>
    <w:p w14:paraId="6D41D9E0" w14:textId="77777777" w:rsidR="00ED32DA" w:rsidRPr="00E4287A" w:rsidRDefault="00ED32DA" w:rsidP="00ED32DA">
      <w:pPr>
        <w:pStyle w:val="BodyText"/>
        <w:numPr>
          <w:ilvl w:val="0"/>
          <w:numId w:val="18"/>
        </w:numPr>
        <w:spacing w:before="3"/>
        <w:ind w:right="105"/>
        <w:rPr>
          <w:rFonts w:ascii="Arial" w:eastAsiaTheme="minorEastAsia" w:hAnsi="Arial" w:cs="Arial"/>
        </w:rPr>
      </w:pPr>
      <w:r w:rsidRPr="00E4287A">
        <w:rPr>
          <w:rFonts w:ascii="Arial" w:eastAsiaTheme="minorEastAsia" w:hAnsi="Arial" w:cs="Arial"/>
          <w:b/>
          <w:bCs/>
        </w:rPr>
        <w:t>Curriculum</w:t>
      </w:r>
      <w:r w:rsidRPr="00E4287A">
        <w:rPr>
          <w:rFonts w:ascii="Arial" w:eastAsiaTheme="minorEastAsia" w:hAnsi="Arial" w:cs="Arial"/>
        </w:rPr>
        <w:t>: Deliver a curriculum that builds core competencies in Learning Health System science; and,</w:t>
      </w:r>
    </w:p>
    <w:p w14:paraId="7ADED14D" w14:textId="4EB26BB7" w:rsidR="00ED32DA" w:rsidRPr="00E4287A" w:rsidRDefault="00ED32DA" w:rsidP="003A10C4">
      <w:pPr>
        <w:pStyle w:val="BodyText"/>
        <w:numPr>
          <w:ilvl w:val="0"/>
          <w:numId w:val="18"/>
        </w:numPr>
        <w:spacing w:before="3"/>
        <w:ind w:right="105"/>
        <w:rPr>
          <w:rFonts w:ascii="Arial" w:hAnsi="Arial" w:cs="Arial"/>
          <w:color w:val="000000" w:themeColor="text1"/>
        </w:rPr>
      </w:pPr>
      <w:r w:rsidRPr="00E4287A">
        <w:rPr>
          <w:rFonts w:ascii="Arial" w:eastAsiaTheme="minorEastAsia" w:hAnsi="Arial" w:cs="Arial"/>
          <w:b/>
          <w:bCs/>
        </w:rPr>
        <w:t xml:space="preserve">Mentorship: </w:t>
      </w:r>
      <w:r w:rsidRPr="00E4287A">
        <w:rPr>
          <w:rFonts w:ascii="Arial" w:eastAsiaTheme="minorEastAsia" w:hAnsi="Arial" w:cs="Arial"/>
        </w:rPr>
        <w:t>Provide research, health system, and life course mentorship.</w:t>
      </w:r>
    </w:p>
    <w:p w14:paraId="46862146" w14:textId="77777777" w:rsidR="00DD1B79" w:rsidRPr="00E4287A" w:rsidRDefault="00DD1B79" w:rsidP="00072769">
      <w:pPr>
        <w:pStyle w:val="Default"/>
        <w:rPr>
          <w:b/>
          <w:color w:val="000000" w:themeColor="text1"/>
        </w:rPr>
      </w:pPr>
    </w:p>
    <w:p w14:paraId="09F1101C" w14:textId="77777777" w:rsidR="000D4341" w:rsidRPr="00E4287A" w:rsidRDefault="00961B89" w:rsidP="000D4341">
      <w:pPr>
        <w:pStyle w:val="Default"/>
        <w:rPr>
          <w:b/>
          <w:color w:val="000000" w:themeColor="text1"/>
        </w:rPr>
      </w:pPr>
      <w:r w:rsidRPr="00E4287A">
        <w:rPr>
          <w:b/>
          <w:color w:val="000000" w:themeColor="text1"/>
        </w:rPr>
        <w:t>Administrative Details</w:t>
      </w:r>
    </w:p>
    <w:p w14:paraId="6C9BFE95" w14:textId="37F22387" w:rsidR="00961B89" w:rsidRPr="00E4287A" w:rsidRDefault="00D76A1E" w:rsidP="000D4341">
      <w:pPr>
        <w:pStyle w:val="Default"/>
        <w:numPr>
          <w:ilvl w:val="0"/>
          <w:numId w:val="11"/>
        </w:numPr>
        <w:rPr>
          <w:b/>
          <w:color w:val="000000" w:themeColor="text1"/>
        </w:rPr>
      </w:pPr>
      <w:r>
        <w:rPr>
          <w:color w:val="000000" w:themeColor="text1"/>
        </w:rPr>
        <w:t>Program s</w:t>
      </w:r>
      <w:r w:rsidR="00961B89" w:rsidRPr="00E4287A">
        <w:rPr>
          <w:color w:val="000000" w:themeColor="text1"/>
        </w:rPr>
        <w:t xml:space="preserve">tart date: </w:t>
      </w:r>
      <w:r w:rsidR="00E03D9F">
        <w:rPr>
          <w:color w:val="000000" w:themeColor="text1"/>
        </w:rPr>
        <w:t>July 2022</w:t>
      </w:r>
    </w:p>
    <w:p w14:paraId="278CEC15" w14:textId="21F1BA34" w:rsidR="000D4341" w:rsidRPr="00E4287A" w:rsidRDefault="000D4341" w:rsidP="000D4341">
      <w:pPr>
        <w:pStyle w:val="Default"/>
        <w:numPr>
          <w:ilvl w:val="0"/>
          <w:numId w:val="11"/>
        </w:numPr>
        <w:rPr>
          <w:b/>
          <w:color w:val="000000" w:themeColor="text1"/>
        </w:rPr>
      </w:pPr>
      <w:r w:rsidRPr="00E4287A">
        <w:rPr>
          <w:color w:val="000000" w:themeColor="text1"/>
        </w:rPr>
        <w:t>Minimum of 2-year duration; some scholars may be offered a</w:t>
      </w:r>
      <w:r w:rsidR="005803D2" w:rsidRPr="00E4287A">
        <w:rPr>
          <w:color w:val="000000" w:themeColor="text1"/>
        </w:rPr>
        <w:t>n optional</w:t>
      </w:r>
      <w:r w:rsidRPr="00E4287A">
        <w:rPr>
          <w:color w:val="000000" w:themeColor="text1"/>
        </w:rPr>
        <w:t xml:space="preserve"> 3</w:t>
      </w:r>
      <w:r w:rsidRPr="00E4287A">
        <w:rPr>
          <w:color w:val="000000" w:themeColor="text1"/>
          <w:vertAlign w:val="superscript"/>
        </w:rPr>
        <w:t>rd</w:t>
      </w:r>
      <w:r w:rsidRPr="00E4287A">
        <w:rPr>
          <w:color w:val="000000" w:themeColor="text1"/>
        </w:rPr>
        <w:t xml:space="preserve"> year</w:t>
      </w:r>
    </w:p>
    <w:p w14:paraId="2BAA3CE3" w14:textId="125C7A04" w:rsidR="000D4341" w:rsidRPr="00D76A1E" w:rsidRDefault="00961B89" w:rsidP="000D4341">
      <w:pPr>
        <w:pStyle w:val="Default"/>
        <w:numPr>
          <w:ilvl w:val="0"/>
          <w:numId w:val="11"/>
        </w:numPr>
        <w:rPr>
          <w:b/>
          <w:color w:val="000000" w:themeColor="text1"/>
        </w:rPr>
      </w:pPr>
      <w:r w:rsidRPr="00E4287A">
        <w:rPr>
          <w:color w:val="000000" w:themeColor="text1"/>
        </w:rPr>
        <w:t xml:space="preserve">Scholars must obtain commitment from their </w:t>
      </w:r>
      <w:r w:rsidR="002A59B3" w:rsidRPr="00E4287A">
        <w:rPr>
          <w:color w:val="000000" w:themeColor="text1"/>
        </w:rPr>
        <w:t>institution</w:t>
      </w:r>
      <w:r w:rsidRPr="00E4287A">
        <w:rPr>
          <w:color w:val="000000" w:themeColor="text1"/>
        </w:rPr>
        <w:t xml:space="preserve">s for 75% protected time for the </w:t>
      </w:r>
      <w:r w:rsidR="001963BA" w:rsidRPr="00E4287A">
        <w:rPr>
          <w:color w:val="000000" w:themeColor="text1"/>
        </w:rPr>
        <w:t xml:space="preserve">duration of the </w:t>
      </w:r>
      <w:r w:rsidRPr="00E4287A">
        <w:rPr>
          <w:color w:val="000000" w:themeColor="text1"/>
        </w:rPr>
        <w:t>program</w:t>
      </w:r>
      <w:r w:rsidR="00483089" w:rsidRPr="00E4287A">
        <w:rPr>
          <w:color w:val="000000" w:themeColor="text1"/>
        </w:rPr>
        <w:t xml:space="preserve">. </w:t>
      </w:r>
      <w:r w:rsidR="00483089" w:rsidRPr="00E4287A">
        <w:rPr>
          <w:color w:val="000000" w:themeColor="text1"/>
          <w:u w:val="single"/>
        </w:rPr>
        <w:t>For institutional/other funded applicants only</w:t>
      </w:r>
      <w:r w:rsidR="00483089" w:rsidRPr="00E4287A">
        <w:rPr>
          <w:color w:val="000000" w:themeColor="text1"/>
        </w:rPr>
        <w:t xml:space="preserve">, </w:t>
      </w:r>
      <w:r w:rsidR="00E45125" w:rsidRPr="00E4287A">
        <w:rPr>
          <w:color w:val="000000" w:themeColor="text1"/>
        </w:rPr>
        <w:t>up to 25% of that effort may include operations, QI, informatics, or other administrative responsibilities related to LHS activities</w:t>
      </w:r>
      <w:r w:rsidR="00E03D9F">
        <w:rPr>
          <w:color w:val="000000" w:themeColor="text1"/>
        </w:rPr>
        <w:t>.</w:t>
      </w:r>
    </w:p>
    <w:p w14:paraId="6E60E4C3" w14:textId="0D76576F" w:rsidR="00D76A1E" w:rsidRDefault="00D76A1E" w:rsidP="00D76A1E">
      <w:pPr>
        <w:pStyle w:val="Default"/>
        <w:ind w:left="360"/>
        <w:rPr>
          <w:b/>
          <w:color w:val="000000" w:themeColor="text1"/>
        </w:rPr>
      </w:pPr>
    </w:p>
    <w:p w14:paraId="1005015D" w14:textId="77777777" w:rsidR="001F38D6" w:rsidRDefault="001F38D6" w:rsidP="00D76A1E">
      <w:pPr>
        <w:pStyle w:val="Default"/>
        <w:ind w:left="360"/>
        <w:rPr>
          <w:b/>
          <w:color w:val="000000" w:themeColor="text1"/>
        </w:rPr>
      </w:pPr>
    </w:p>
    <w:p w14:paraId="07FB0218" w14:textId="77777777" w:rsidR="00D76A1E" w:rsidRPr="00E4287A" w:rsidRDefault="00D76A1E" w:rsidP="00D76A1E">
      <w:pPr>
        <w:pStyle w:val="Default"/>
        <w:ind w:left="360"/>
        <w:rPr>
          <w:b/>
          <w:color w:val="000000" w:themeColor="text1"/>
        </w:rPr>
      </w:pPr>
    </w:p>
    <w:p w14:paraId="5603FDAF" w14:textId="0DC160F8" w:rsidR="001963BA" w:rsidRPr="00E4287A" w:rsidRDefault="00961B89" w:rsidP="000D4341">
      <w:pPr>
        <w:pStyle w:val="Default"/>
        <w:numPr>
          <w:ilvl w:val="0"/>
          <w:numId w:val="11"/>
        </w:numPr>
        <w:rPr>
          <w:b/>
          <w:color w:val="000000" w:themeColor="text1"/>
        </w:rPr>
      </w:pPr>
      <w:r w:rsidRPr="00E4287A">
        <w:rPr>
          <w:color w:val="000000" w:themeColor="text1"/>
        </w:rPr>
        <w:lastRenderedPageBreak/>
        <w:t>Fund</w:t>
      </w:r>
      <w:r w:rsidR="00E45125" w:rsidRPr="00E4287A">
        <w:rPr>
          <w:color w:val="000000" w:themeColor="text1"/>
        </w:rPr>
        <w:t>ing</w:t>
      </w:r>
      <w:r w:rsidRPr="00E4287A">
        <w:rPr>
          <w:color w:val="000000" w:themeColor="text1"/>
        </w:rPr>
        <w:t xml:space="preserve"> </w:t>
      </w:r>
      <w:r w:rsidR="00E45125" w:rsidRPr="00E4287A">
        <w:rPr>
          <w:color w:val="000000" w:themeColor="text1"/>
        </w:rPr>
        <w:t>options</w:t>
      </w:r>
      <w:r w:rsidRPr="00E4287A">
        <w:rPr>
          <w:color w:val="000000" w:themeColor="text1"/>
        </w:rPr>
        <w:t xml:space="preserve">: </w:t>
      </w:r>
    </w:p>
    <w:p w14:paraId="05A9020D" w14:textId="5F49BCF8" w:rsidR="001963BA" w:rsidRPr="00E4287A" w:rsidRDefault="00E45125" w:rsidP="00E45125">
      <w:pPr>
        <w:pStyle w:val="Default"/>
        <w:numPr>
          <w:ilvl w:val="1"/>
          <w:numId w:val="3"/>
        </w:numPr>
        <w:rPr>
          <w:color w:val="000000" w:themeColor="text1"/>
        </w:rPr>
      </w:pPr>
      <w:r w:rsidRPr="00E4287A">
        <w:rPr>
          <w:b/>
          <w:color w:val="000000" w:themeColor="text1"/>
        </w:rPr>
        <w:t>AHRQ K12 funding</w:t>
      </w:r>
      <w:r w:rsidR="00D76A1E">
        <w:rPr>
          <w:b/>
          <w:color w:val="000000" w:themeColor="text1"/>
        </w:rPr>
        <w:t xml:space="preserve"> </w:t>
      </w:r>
      <w:r w:rsidR="00D76A1E" w:rsidRPr="00E4287A">
        <w:rPr>
          <w:color w:val="000000" w:themeColor="text1"/>
        </w:rPr>
        <w:t>(</w:t>
      </w:r>
      <w:r w:rsidR="00D109C6">
        <w:rPr>
          <w:color w:val="000000" w:themeColor="text1"/>
        </w:rPr>
        <w:t>2-3</w:t>
      </w:r>
      <w:r w:rsidR="00D76A1E" w:rsidRPr="00E4287A">
        <w:rPr>
          <w:color w:val="000000" w:themeColor="text1"/>
        </w:rPr>
        <w:t xml:space="preserve"> positions available);</w:t>
      </w:r>
      <w:r w:rsidR="00D76A1E">
        <w:rPr>
          <w:color w:val="000000" w:themeColor="text1"/>
        </w:rPr>
        <w:t xml:space="preserve"> </w:t>
      </w:r>
      <w:r w:rsidR="005E2C2E" w:rsidRPr="00E4287A">
        <w:rPr>
          <w:color w:val="000000" w:themeColor="text1"/>
        </w:rPr>
        <w:t>U</w:t>
      </w:r>
      <w:r w:rsidR="0045639D" w:rsidRPr="00E4287A">
        <w:rPr>
          <w:color w:val="000000" w:themeColor="text1"/>
        </w:rPr>
        <w:t xml:space="preserve">p to </w:t>
      </w:r>
      <w:r w:rsidR="00D4072F" w:rsidRPr="00E4287A">
        <w:rPr>
          <w:color w:val="000000" w:themeColor="text1"/>
        </w:rPr>
        <w:t>$90,000 in salary</w:t>
      </w:r>
      <w:r w:rsidR="0045639D" w:rsidRPr="00E4287A">
        <w:rPr>
          <w:color w:val="000000" w:themeColor="text1"/>
        </w:rPr>
        <w:t xml:space="preserve"> </w:t>
      </w:r>
      <w:r w:rsidR="002A59B3" w:rsidRPr="00E4287A">
        <w:rPr>
          <w:color w:val="000000" w:themeColor="text1"/>
        </w:rPr>
        <w:t xml:space="preserve">support (plus fringe) </w:t>
      </w:r>
      <w:r w:rsidR="0045639D" w:rsidRPr="00E4287A">
        <w:rPr>
          <w:color w:val="000000" w:themeColor="text1"/>
        </w:rPr>
        <w:t>per scholar per year</w:t>
      </w:r>
      <w:r w:rsidR="00E66869" w:rsidRPr="00E4287A">
        <w:rPr>
          <w:color w:val="000000" w:themeColor="text1"/>
        </w:rPr>
        <w:t xml:space="preserve">; </w:t>
      </w:r>
      <w:r w:rsidR="00B04D13" w:rsidRPr="00E4287A">
        <w:rPr>
          <w:color w:val="000000" w:themeColor="text1"/>
        </w:rPr>
        <w:t>a minimum of $15,000</w:t>
      </w:r>
      <w:r w:rsidR="00D4072F" w:rsidRPr="00E4287A">
        <w:rPr>
          <w:color w:val="000000" w:themeColor="text1"/>
        </w:rPr>
        <w:t xml:space="preserve"> </w:t>
      </w:r>
      <w:r w:rsidR="00961B89" w:rsidRPr="00E4287A">
        <w:rPr>
          <w:color w:val="000000" w:themeColor="text1"/>
        </w:rPr>
        <w:t>for train</w:t>
      </w:r>
      <w:r w:rsidR="00107E8D" w:rsidRPr="00E4287A">
        <w:rPr>
          <w:color w:val="000000" w:themeColor="text1"/>
        </w:rPr>
        <w:t>ing</w:t>
      </w:r>
      <w:r w:rsidR="00961B89" w:rsidRPr="00E4287A">
        <w:rPr>
          <w:color w:val="000000" w:themeColor="text1"/>
        </w:rPr>
        <w:t xml:space="preserve">-related </w:t>
      </w:r>
      <w:proofErr w:type="gramStart"/>
      <w:r w:rsidR="00961B89" w:rsidRPr="00E4287A">
        <w:rPr>
          <w:color w:val="000000" w:themeColor="text1"/>
        </w:rPr>
        <w:t>expenses;</w:t>
      </w:r>
      <w:proofErr w:type="gramEnd"/>
      <w:r w:rsidR="00961B89" w:rsidRPr="00E4287A">
        <w:rPr>
          <w:color w:val="000000" w:themeColor="text1"/>
        </w:rPr>
        <w:t xml:space="preserve"> </w:t>
      </w:r>
    </w:p>
    <w:p w14:paraId="5DA398F7" w14:textId="712D2B13" w:rsidR="005803D2" w:rsidRPr="00E4287A" w:rsidRDefault="001963BA" w:rsidP="005803D2">
      <w:pPr>
        <w:pStyle w:val="Default"/>
        <w:numPr>
          <w:ilvl w:val="2"/>
          <w:numId w:val="3"/>
        </w:numPr>
        <w:rPr>
          <w:color w:val="000000" w:themeColor="text1"/>
        </w:rPr>
      </w:pPr>
      <w:r w:rsidRPr="00E4287A">
        <w:rPr>
          <w:color w:val="000000" w:themeColor="text1"/>
        </w:rPr>
        <w:t xml:space="preserve">Scholars </w:t>
      </w:r>
      <w:r w:rsidR="00035B7C" w:rsidRPr="00E4287A">
        <w:rPr>
          <w:color w:val="000000" w:themeColor="text1"/>
        </w:rPr>
        <w:t xml:space="preserve">will </w:t>
      </w:r>
      <w:r w:rsidRPr="00E4287A">
        <w:rPr>
          <w:color w:val="000000" w:themeColor="text1"/>
        </w:rPr>
        <w:t>use a portion of training-related funds to cover costs for patient and family partners</w:t>
      </w:r>
      <w:r w:rsidR="00D76A1E">
        <w:rPr>
          <w:color w:val="000000" w:themeColor="text1"/>
        </w:rPr>
        <w:t xml:space="preserve">, </w:t>
      </w:r>
      <w:r w:rsidR="00961B89" w:rsidRPr="00E4287A">
        <w:rPr>
          <w:color w:val="000000" w:themeColor="text1"/>
        </w:rPr>
        <w:t>t</w:t>
      </w:r>
      <w:r w:rsidR="005701E6" w:rsidRPr="00E4287A">
        <w:rPr>
          <w:color w:val="000000" w:themeColor="text1"/>
        </w:rPr>
        <w:t xml:space="preserve">ravel </w:t>
      </w:r>
      <w:r w:rsidR="00035B7C" w:rsidRPr="00E4287A">
        <w:rPr>
          <w:color w:val="000000" w:themeColor="text1"/>
        </w:rPr>
        <w:t>to</w:t>
      </w:r>
      <w:r w:rsidR="005701E6" w:rsidRPr="00E4287A">
        <w:rPr>
          <w:color w:val="000000" w:themeColor="text1"/>
        </w:rPr>
        <w:t xml:space="preserve"> in-</w:t>
      </w:r>
      <w:r w:rsidR="00E66869" w:rsidRPr="00E4287A">
        <w:rPr>
          <w:color w:val="000000" w:themeColor="text1"/>
        </w:rPr>
        <w:t>person program meetings</w:t>
      </w:r>
      <w:r w:rsidR="000D4341" w:rsidRPr="00E4287A">
        <w:rPr>
          <w:color w:val="000000" w:themeColor="text1"/>
        </w:rPr>
        <w:t xml:space="preserve"> each year</w:t>
      </w:r>
      <w:r w:rsidR="00D76A1E">
        <w:rPr>
          <w:color w:val="000000" w:themeColor="text1"/>
        </w:rPr>
        <w:t>, and a scientific mentor stipend;</w:t>
      </w:r>
      <w:r w:rsidR="00E45125" w:rsidRPr="00E4287A">
        <w:rPr>
          <w:color w:val="000000" w:themeColor="text1"/>
        </w:rPr>
        <w:t xml:space="preserve"> or</w:t>
      </w:r>
    </w:p>
    <w:p w14:paraId="460384B1" w14:textId="46D910C5" w:rsidR="00E45125" w:rsidRPr="00E4287A" w:rsidRDefault="00E45125" w:rsidP="005E2C2E">
      <w:pPr>
        <w:pStyle w:val="Default"/>
        <w:numPr>
          <w:ilvl w:val="1"/>
          <w:numId w:val="3"/>
        </w:numPr>
        <w:rPr>
          <w:color w:val="000000" w:themeColor="text1"/>
        </w:rPr>
      </w:pPr>
      <w:r w:rsidRPr="00E4287A">
        <w:rPr>
          <w:b/>
          <w:color w:val="000000" w:themeColor="text1"/>
        </w:rPr>
        <w:t>Commitment from Institutional or other extramural funding</w:t>
      </w:r>
      <w:r w:rsidRPr="00E4287A">
        <w:rPr>
          <w:color w:val="000000" w:themeColor="text1"/>
        </w:rPr>
        <w:t xml:space="preserve"> to cover </w:t>
      </w:r>
      <w:r w:rsidR="00351DFE" w:rsidRPr="00E4287A">
        <w:rPr>
          <w:color w:val="000000" w:themeColor="text1"/>
        </w:rPr>
        <w:t xml:space="preserve">required </w:t>
      </w:r>
      <w:r w:rsidRPr="00E4287A">
        <w:rPr>
          <w:color w:val="000000" w:themeColor="text1"/>
        </w:rPr>
        <w:t xml:space="preserve">salary </w:t>
      </w:r>
      <w:r w:rsidR="00351DFE" w:rsidRPr="00E4287A">
        <w:rPr>
          <w:color w:val="000000" w:themeColor="text1"/>
        </w:rPr>
        <w:t xml:space="preserve">effort </w:t>
      </w:r>
      <w:r w:rsidRPr="00E4287A">
        <w:rPr>
          <w:color w:val="000000" w:themeColor="text1"/>
        </w:rPr>
        <w:t xml:space="preserve">and research expenses (No more than </w:t>
      </w:r>
      <w:r w:rsidR="00351DFE" w:rsidRPr="00E4287A">
        <w:rPr>
          <w:color w:val="000000" w:themeColor="text1"/>
        </w:rPr>
        <w:t>9</w:t>
      </w:r>
      <w:r w:rsidRPr="00E4287A">
        <w:rPr>
          <w:color w:val="000000" w:themeColor="text1"/>
        </w:rPr>
        <w:t xml:space="preserve"> </w:t>
      </w:r>
      <w:r w:rsidR="00351DFE" w:rsidRPr="00E4287A">
        <w:rPr>
          <w:color w:val="000000" w:themeColor="text1"/>
        </w:rPr>
        <w:t>positions available</w:t>
      </w:r>
      <w:r w:rsidRPr="00E4287A">
        <w:rPr>
          <w:color w:val="000000" w:themeColor="text1"/>
        </w:rPr>
        <w:t>)</w:t>
      </w:r>
    </w:p>
    <w:p w14:paraId="1991E961" w14:textId="38D7DFCE" w:rsidR="00392C4F" w:rsidRPr="00E4287A" w:rsidRDefault="00392C4F" w:rsidP="001F38D6">
      <w:pPr>
        <w:pStyle w:val="Default"/>
        <w:numPr>
          <w:ilvl w:val="0"/>
          <w:numId w:val="3"/>
        </w:numPr>
        <w:ind w:left="1080"/>
        <w:rPr>
          <w:color w:val="000000" w:themeColor="text1"/>
        </w:rPr>
      </w:pPr>
      <w:r w:rsidRPr="00E4287A">
        <w:rPr>
          <w:color w:val="000000" w:themeColor="text1"/>
        </w:rPr>
        <w:t>Applicatio</w:t>
      </w:r>
      <w:r w:rsidR="00351DFE" w:rsidRPr="00E4287A">
        <w:rPr>
          <w:color w:val="000000" w:themeColor="text1"/>
        </w:rPr>
        <w:t>n cover letter</w:t>
      </w:r>
      <w:r w:rsidRPr="00E4287A">
        <w:rPr>
          <w:color w:val="000000" w:themeColor="text1"/>
        </w:rPr>
        <w:t xml:space="preserve"> must state</w:t>
      </w:r>
      <w:r w:rsidR="00351DFE" w:rsidRPr="00E4287A">
        <w:rPr>
          <w:color w:val="000000" w:themeColor="text1"/>
        </w:rPr>
        <w:t xml:space="preserve"> applicant's</w:t>
      </w:r>
      <w:r w:rsidRPr="00E4287A">
        <w:rPr>
          <w:color w:val="000000" w:themeColor="text1"/>
        </w:rPr>
        <w:t xml:space="preserve"> funding intent:</w:t>
      </w:r>
    </w:p>
    <w:p w14:paraId="68CA2870" w14:textId="4366DC53" w:rsidR="00392C4F" w:rsidRPr="00E4287A" w:rsidRDefault="00392C4F" w:rsidP="001F38D6">
      <w:pPr>
        <w:pStyle w:val="Default"/>
        <w:numPr>
          <w:ilvl w:val="0"/>
          <w:numId w:val="17"/>
        </w:numPr>
        <w:ind w:left="1800"/>
        <w:rPr>
          <w:color w:val="000000" w:themeColor="text1"/>
        </w:rPr>
      </w:pPr>
      <w:r w:rsidRPr="00E4287A">
        <w:rPr>
          <w:color w:val="000000" w:themeColor="text1"/>
        </w:rPr>
        <w:t>Applying for AHRQ K12 funding only;</w:t>
      </w:r>
    </w:p>
    <w:p w14:paraId="5C1F21E9" w14:textId="41D14AEE" w:rsidR="00483089" w:rsidRPr="00E4287A" w:rsidRDefault="00483089" w:rsidP="001F38D6">
      <w:pPr>
        <w:pStyle w:val="Default"/>
        <w:numPr>
          <w:ilvl w:val="0"/>
          <w:numId w:val="17"/>
        </w:numPr>
        <w:ind w:left="1800"/>
        <w:rPr>
          <w:color w:val="000000" w:themeColor="text1"/>
        </w:rPr>
      </w:pPr>
      <w:r w:rsidRPr="00E4287A">
        <w:rPr>
          <w:color w:val="000000" w:themeColor="text1"/>
        </w:rPr>
        <w:t>Apply for institutional/other funding only; or</w:t>
      </w:r>
    </w:p>
    <w:p w14:paraId="3778214C" w14:textId="1639EA2A" w:rsidR="00392C4F" w:rsidRPr="00E4287A" w:rsidRDefault="00392C4F" w:rsidP="001F38D6">
      <w:pPr>
        <w:pStyle w:val="Default"/>
        <w:numPr>
          <w:ilvl w:val="0"/>
          <w:numId w:val="17"/>
        </w:numPr>
        <w:ind w:left="1800"/>
        <w:rPr>
          <w:color w:val="000000" w:themeColor="text1"/>
        </w:rPr>
      </w:pPr>
      <w:r w:rsidRPr="00E4287A">
        <w:rPr>
          <w:color w:val="000000" w:themeColor="text1"/>
        </w:rPr>
        <w:t>Applying for AHRQ K12 funding, and have acquired the commitment of institutional or extramural funding</w:t>
      </w:r>
      <w:r w:rsidR="00483089" w:rsidRPr="00E4287A">
        <w:rPr>
          <w:color w:val="000000" w:themeColor="text1"/>
        </w:rPr>
        <w:t>.</w:t>
      </w:r>
    </w:p>
    <w:p w14:paraId="6A12689E" w14:textId="5FEA623D" w:rsidR="00392C4F" w:rsidRPr="00E4287A" w:rsidRDefault="00392C4F" w:rsidP="001F38D6">
      <w:pPr>
        <w:pStyle w:val="Default"/>
        <w:ind w:left="1080"/>
        <w:rPr>
          <w:b/>
          <w:color w:val="000000" w:themeColor="text1"/>
        </w:rPr>
      </w:pPr>
      <w:r w:rsidRPr="00E4287A">
        <w:rPr>
          <w:b/>
          <w:color w:val="000000" w:themeColor="text1"/>
        </w:rPr>
        <w:t>Among those seeking AHRQ K12 funding ONLY, funding will be awarded to the highest three scoring and ranked candidates, based on criteria established by the PEDSnet Scholars Program Executive Committee.</w:t>
      </w:r>
    </w:p>
    <w:p w14:paraId="4C29B08A" w14:textId="77777777" w:rsidR="00961B89" w:rsidRPr="00E4287A" w:rsidRDefault="00961B89" w:rsidP="001F38D6">
      <w:pPr>
        <w:ind w:left="720"/>
        <w:rPr>
          <w:rFonts w:ascii="Arial" w:hAnsi="Arial" w:cs="Arial"/>
          <w:b/>
          <w:color w:val="000000" w:themeColor="text1"/>
        </w:rPr>
      </w:pPr>
    </w:p>
    <w:p w14:paraId="7C35FC82" w14:textId="2A4ADEC9" w:rsidR="00622EB2" w:rsidRPr="00E4287A" w:rsidRDefault="00622EB2" w:rsidP="00961B89">
      <w:pPr>
        <w:pStyle w:val="Default"/>
        <w:rPr>
          <w:color w:val="000000" w:themeColor="text1"/>
        </w:rPr>
      </w:pPr>
      <w:r w:rsidRPr="00E4287A">
        <w:rPr>
          <w:b/>
          <w:color w:val="000000" w:themeColor="text1"/>
        </w:rPr>
        <w:t>Eligibility Criteria</w:t>
      </w:r>
    </w:p>
    <w:p w14:paraId="15519280" w14:textId="6EFAF91F" w:rsidR="00622EB2" w:rsidRPr="00E4287A" w:rsidRDefault="00622EB2" w:rsidP="00961B89">
      <w:pPr>
        <w:pStyle w:val="Default"/>
        <w:rPr>
          <w:color w:val="000000" w:themeColor="text1"/>
        </w:rPr>
      </w:pPr>
      <w:r w:rsidRPr="00E4287A">
        <w:rPr>
          <w:color w:val="000000" w:themeColor="text1"/>
        </w:rPr>
        <w:t>Individuals are eligible to apply if they:</w:t>
      </w:r>
    </w:p>
    <w:p w14:paraId="698029BA" w14:textId="6567AE59" w:rsidR="00622EB2" w:rsidRPr="00E4287A" w:rsidRDefault="00622EB2" w:rsidP="00622EB2">
      <w:pPr>
        <w:pStyle w:val="Default"/>
        <w:numPr>
          <w:ilvl w:val="0"/>
          <w:numId w:val="10"/>
        </w:numPr>
        <w:rPr>
          <w:color w:val="000000" w:themeColor="text1"/>
        </w:rPr>
      </w:pPr>
      <w:r w:rsidRPr="00E4287A">
        <w:rPr>
          <w:color w:val="000000" w:themeColor="text1"/>
        </w:rPr>
        <w:t>Are US citizens or non-citizen nationals</w:t>
      </w:r>
      <w:r w:rsidR="00EB489A" w:rsidRPr="00E4287A">
        <w:rPr>
          <w:color w:val="000000" w:themeColor="text1"/>
        </w:rPr>
        <w:t>;</w:t>
      </w:r>
    </w:p>
    <w:p w14:paraId="1E2F4904" w14:textId="55987BAD" w:rsidR="00622EB2" w:rsidRPr="00E4287A" w:rsidRDefault="00622EB2" w:rsidP="000D4341">
      <w:pPr>
        <w:pStyle w:val="Default"/>
        <w:numPr>
          <w:ilvl w:val="0"/>
          <w:numId w:val="10"/>
        </w:numPr>
        <w:rPr>
          <w:color w:val="000000" w:themeColor="text1"/>
        </w:rPr>
      </w:pPr>
      <w:r w:rsidRPr="00E4287A">
        <w:rPr>
          <w:color w:val="000000" w:themeColor="text1"/>
        </w:rPr>
        <w:t>Have earned a clinical (MD, DO, DDS, DMD, DPT, PharmD</w:t>
      </w:r>
      <w:r w:rsidR="000D4341" w:rsidRPr="00E4287A">
        <w:rPr>
          <w:color w:val="000000" w:themeColor="text1"/>
        </w:rPr>
        <w:t>) or</w:t>
      </w:r>
      <w:r w:rsidRPr="00E4287A">
        <w:rPr>
          <w:color w:val="000000" w:themeColor="text1"/>
        </w:rPr>
        <w:t xml:space="preserve"> research (PhD, ScD, DrPH) doctoral degree</w:t>
      </w:r>
      <w:r w:rsidR="00EB489A" w:rsidRPr="00E4287A">
        <w:rPr>
          <w:color w:val="000000" w:themeColor="text1"/>
        </w:rPr>
        <w:t>;</w:t>
      </w:r>
    </w:p>
    <w:p w14:paraId="72A7DE5A" w14:textId="4F07DDE3" w:rsidR="000D4341" w:rsidRPr="00E4287A" w:rsidRDefault="000D4341" w:rsidP="000D4341">
      <w:pPr>
        <w:pStyle w:val="Default"/>
        <w:numPr>
          <w:ilvl w:val="0"/>
          <w:numId w:val="10"/>
        </w:numPr>
        <w:rPr>
          <w:color w:val="000000" w:themeColor="text1"/>
        </w:rPr>
      </w:pPr>
      <w:r w:rsidRPr="00E4287A">
        <w:rPr>
          <w:color w:val="000000" w:themeColor="text1"/>
        </w:rPr>
        <w:t>Can commit 75% effort to the program for the duration of the award</w:t>
      </w:r>
      <w:r w:rsidR="00EB489A" w:rsidRPr="00E4287A">
        <w:rPr>
          <w:color w:val="000000" w:themeColor="text1"/>
        </w:rPr>
        <w:t>; and</w:t>
      </w:r>
    </w:p>
    <w:p w14:paraId="64F9C335" w14:textId="08F8F511" w:rsidR="000D4341" w:rsidRPr="00E4287A" w:rsidRDefault="000D4341" w:rsidP="00EB489A">
      <w:pPr>
        <w:pStyle w:val="Default"/>
        <w:numPr>
          <w:ilvl w:val="0"/>
          <w:numId w:val="10"/>
        </w:numPr>
        <w:rPr>
          <w:color w:val="000000" w:themeColor="text1"/>
        </w:rPr>
      </w:pPr>
      <w:r w:rsidRPr="00E4287A">
        <w:rPr>
          <w:color w:val="000000" w:themeColor="text1"/>
        </w:rPr>
        <w:t>Have a “full-time” faculty appointment at their institution</w:t>
      </w:r>
      <w:r w:rsidR="00E45125" w:rsidRPr="00E4287A">
        <w:rPr>
          <w:color w:val="000000" w:themeColor="text1"/>
        </w:rPr>
        <w:t xml:space="preserve"> by Jan 2021</w:t>
      </w:r>
      <w:r w:rsidR="00483089" w:rsidRPr="00E4287A">
        <w:rPr>
          <w:color w:val="000000" w:themeColor="text1"/>
        </w:rPr>
        <w:t>.</w:t>
      </w:r>
    </w:p>
    <w:p w14:paraId="5FE2F196" w14:textId="00776FCF" w:rsidR="005803D2" w:rsidRPr="00E4287A" w:rsidRDefault="00E45125" w:rsidP="00EB489A">
      <w:pPr>
        <w:pStyle w:val="Default"/>
        <w:numPr>
          <w:ilvl w:val="0"/>
          <w:numId w:val="10"/>
        </w:numPr>
        <w:rPr>
          <w:color w:val="000000" w:themeColor="text1"/>
        </w:rPr>
      </w:pPr>
      <w:r w:rsidRPr="00E4287A">
        <w:rPr>
          <w:b/>
          <w:color w:val="000000" w:themeColor="text1"/>
        </w:rPr>
        <w:t>For AHRQ K12 funding only</w:t>
      </w:r>
      <w:r w:rsidRPr="00E4287A">
        <w:rPr>
          <w:color w:val="000000" w:themeColor="text1"/>
        </w:rPr>
        <w:t>, i</w:t>
      </w:r>
      <w:r w:rsidR="000D4341" w:rsidRPr="00E4287A">
        <w:rPr>
          <w:color w:val="000000" w:themeColor="text1"/>
        </w:rPr>
        <w:t xml:space="preserve">ndividuals are </w:t>
      </w:r>
      <w:r w:rsidR="000D4341" w:rsidRPr="00E4287A">
        <w:rPr>
          <w:b/>
          <w:color w:val="000000" w:themeColor="text1"/>
        </w:rPr>
        <w:t>NOT</w:t>
      </w:r>
      <w:r w:rsidR="000D4341" w:rsidRPr="00E4287A">
        <w:rPr>
          <w:color w:val="000000" w:themeColor="text1"/>
        </w:rPr>
        <w:t xml:space="preserve"> eligible to apply if they:</w:t>
      </w:r>
    </w:p>
    <w:p w14:paraId="6B38DE6C" w14:textId="77777777" w:rsidR="005803D2" w:rsidRPr="00E4287A" w:rsidRDefault="00622EB2" w:rsidP="00EB489A">
      <w:pPr>
        <w:pStyle w:val="Default"/>
        <w:numPr>
          <w:ilvl w:val="0"/>
          <w:numId w:val="13"/>
        </w:numPr>
        <w:ind w:left="1080"/>
        <w:rPr>
          <w:color w:val="000000" w:themeColor="text1"/>
        </w:rPr>
      </w:pPr>
      <w:r w:rsidRPr="00E4287A">
        <w:rPr>
          <w:color w:val="000000" w:themeColor="text1"/>
        </w:rPr>
        <w:t>Have simultaneously submitted or have an application pending peer review for any other Federal career development award, or a research project grant (R01). However, individuals may concurrently submit an application for an AHRQ or NIH Small Grant (R03) or Exploratory/Developmental Grants (R21</w:t>
      </w:r>
      <w:proofErr w:type="gramStart"/>
      <w:r w:rsidRPr="00E4287A">
        <w:rPr>
          <w:color w:val="000000" w:themeColor="text1"/>
        </w:rPr>
        <w:t>);</w:t>
      </w:r>
      <w:proofErr w:type="gramEnd"/>
    </w:p>
    <w:p w14:paraId="43ABE371" w14:textId="77777777" w:rsidR="005803D2" w:rsidRPr="00E4287A" w:rsidRDefault="00622EB2" w:rsidP="00EB489A">
      <w:pPr>
        <w:pStyle w:val="Default"/>
        <w:numPr>
          <w:ilvl w:val="0"/>
          <w:numId w:val="13"/>
        </w:numPr>
        <w:ind w:left="1080"/>
        <w:rPr>
          <w:color w:val="000000" w:themeColor="text1"/>
        </w:rPr>
      </w:pPr>
      <w:r w:rsidRPr="00E4287A">
        <w:rPr>
          <w:color w:val="000000" w:themeColor="text1"/>
        </w:rPr>
        <w:t>Have simultaneously submitted or have an application pending peer review for any non-Federal research grant, contract, or cooperative agreement over $100,000 direct costs per year;</w:t>
      </w:r>
    </w:p>
    <w:p w14:paraId="5ADB909F" w14:textId="77777777" w:rsidR="005803D2" w:rsidRPr="00E4287A" w:rsidRDefault="00622EB2" w:rsidP="00EB489A">
      <w:pPr>
        <w:pStyle w:val="Default"/>
        <w:numPr>
          <w:ilvl w:val="0"/>
          <w:numId w:val="13"/>
        </w:numPr>
        <w:ind w:left="1080"/>
        <w:rPr>
          <w:color w:val="000000" w:themeColor="text1"/>
        </w:rPr>
      </w:pPr>
      <w:r w:rsidRPr="00E4287A">
        <w:rPr>
          <w:color w:val="000000" w:themeColor="text1"/>
        </w:rPr>
        <w:t>Have been or are currently a PD/PI on any other Federal mentored career development awards; </w:t>
      </w:r>
    </w:p>
    <w:p w14:paraId="6100D695" w14:textId="77777777" w:rsidR="005803D2" w:rsidRPr="00E4287A" w:rsidRDefault="00622EB2" w:rsidP="00EB489A">
      <w:pPr>
        <w:pStyle w:val="Default"/>
        <w:numPr>
          <w:ilvl w:val="0"/>
          <w:numId w:val="13"/>
        </w:numPr>
        <w:ind w:left="1080"/>
        <w:rPr>
          <w:color w:val="000000" w:themeColor="text1"/>
        </w:rPr>
      </w:pPr>
      <w:r w:rsidRPr="00E4287A">
        <w:rPr>
          <w:color w:val="000000" w:themeColor="text1"/>
        </w:rPr>
        <w:t>Have been or are currently supported on an institutional K12 grant or KL2 (or similar grant); </w:t>
      </w:r>
    </w:p>
    <w:p w14:paraId="3748A1DC" w14:textId="77777777" w:rsidR="005803D2" w:rsidRPr="00E4287A" w:rsidRDefault="00622EB2" w:rsidP="00EB489A">
      <w:pPr>
        <w:pStyle w:val="Default"/>
        <w:numPr>
          <w:ilvl w:val="0"/>
          <w:numId w:val="13"/>
        </w:numPr>
        <w:ind w:left="1080"/>
        <w:rPr>
          <w:color w:val="000000" w:themeColor="text1"/>
        </w:rPr>
      </w:pPr>
      <w:r w:rsidRPr="00E4287A">
        <w:rPr>
          <w:color w:val="000000" w:themeColor="text1"/>
        </w:rPr>
        <w:t>Have been or are currently a PD/PI on a Federal research grant (such as R01, R29, P01) or subproject leaders on Program Project (P01) and Center Grants (P50); and/or</w:t>
      </w:r>
    </w:p>
    <w:p w14:paraId="4490A1E7" w14:textId="787641B8" w:rsidR="00622EB2" w:rsidRPr="00E4287A" w:rsidRDefault="00622EB2" w:rsidP="00EB489A">
      <w:pPr>
        <w:pStyle w:val="Default"/>
        <w:numPr>
          <w:ilvl w:val="0"/>
          <w:numId w:val="13"/>
        </w:numPr>
        <w:ind w:left="1080"/>
        <w:rPr>
          <w:color w:val="000000" w:themeColor="text1"/>
        </w:rPr>
      </w:pPr>
      <w:r w:rsidRPr="00E4287A">
        <w:rPr>
          <w:color w:val="000000" w:themeColor="text1"/>
        </w:rPr>
        <w:t>Have been or are currently a PD/PI on peer-reviewed non-Federal research grants, contracts or cooperative agreements over $100,000 direct costs per year.</w:t>
      </w:r>
    </w:p>
    <w:p w14:paraId="44793A9F" w14:textId="438C10E9" w:rsidR="00E4287A" w:rsidRDefault="00ED32DA" w:rsidP="00D76A1E">
      <w:pPr>
        <w:pStyle w:val="Default"/>
        <w:ind w:left="720"/>
        <w:rPr>
          <w:b/>
          <w:color w:val="000000" w:themeColor="text1"/>
        </w:rPr>
      </w:pPr>
      <w:r w:rsidRPr="00E4287A">
        <w:rPr>
          <w:b/>
          <w:color w:val="000000" w:themeColor="text1"/>
        </w:rPr>
        <w:lastRenderedPageBreak/>
        <w:t>Please refer to the AHRQ program announcement</w:t>
      </w:r>
      <w:r w:rsidR="000B256A" w:rsidRPr="00E4287A">
        <w:rPr>
          <w:b/>
          <w:color w:val="000000" w:themeColor="text1"/>
        </w:rPr>
        <w:t xml:space="preserve"> (RFA-HS-17-012) </w:t>
      </w:r>
      <w:r w:rsidRPr="00E4287A">
        <w:rPr>
          <w:b/>
          <w:color w:val="000000" w:themeColor="text1"/>
        </w:rPr>
        <w:t xml:space="preserve">for complete eligibility </w:t>
      </w:r>
      <w:r w:rsidR="00C33BBF" w:rsidRPr="00E4287A">
        <w:rPr>
          <w:b/>
          <w:color w:val="000000" w:themeColor="text1"/>
        </w:rPr>
        <w:t>details</w:t>
      </w:r>
      <w:r w:rsidRPr="00E4287A">
        <w:rPr>
          <w:b/>
          <w:color w:val="000000" w:themeColor="text1"/>
        </w:rPr>
        <w:t xml:space="preserve">. </w:t>
      </w:r>
    </w:p>
    <w:p w14:paraId="70A419F2" w14:textId="77777777" w:rsidR="00E4287A" w:rsidRPr="00E4287A" w:rsidRDefault="00E4287A" w:rsidP="000B256A">
      <w:pPr>
        <w:pStyle w:val="Default"/>
        <w:ind w:left="360"/>
        <w:rPr>
          <w:b/>
          <w:color w:val="000000" w:themeColor="text1"/>
        </w:rPr>
      </w:pPr>
    </w:p>
    <w:p w14:paraId="766689F4" w14:textId="77777777" w:rsidR="00961B89" w:rsidRPr="00E4287A" w:rsidRDefault="00961B89" w:rsidP="00961B89">
      <w:pPr>
        <w:pStyle w:val="Default"/>
        <w:rPr>
          <w:b/>
          <w:color w:val="000000" w:themeColor="text1"/>
        </w:rPr>
      </w:pPr>
      <w:r w:rsidRPr="00E4287A">
        <w:rPr>
          <w:b/>
          <w:color w:val="000000" w:themeColor="text1"/>
        </w:rPr>
        <w:t>Program Components</w:t>
      </w:r>
    </w:p>
    <w:p w14:paraId="56C73E17" w14:textId="79CFA231" w:rsidR="00C45416" w:rsidRPr="00E4287A" w:rsidRDefault="00107E8D" w:rsidP="00107E8D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E4287A">
        <w:rPr>
          <w:color w:val="000000" w:themeColor="text1"/>
        </w:rPr>
        <w:t xml:space="preserve">A diverse and experienced pediatric health services and outcomes research faculty including </w:t>
      </w:r>
      <w:r w:rsidR="00E45125" w:rsidRPr="00E4287A">
        <w:rPr>
          <w:color w:val="000000" w:themeColor="text1"/>
        </w:rPr>
        <w:t xml:space="preserve">over 50 </w:t>
      </w:r>
      <w:r w:rsidRPr="00E4287A">
        <w:rPr>
          <w:color w:val="000000" w:themeColor="text1"/>
        </w:rPr>
        <w:t xml:space="preserve">MDs, MD/PhDs, and PhDs </w:t>
      </w:r>
      <w:r w:rsidR="00C45416" w:rsidRPr="00E4287A">
        <w:rPr>
          <w:color w:val="000000" w:themeColor="text1"/>
        </w:rPr>
        <w:t>who represent leading experts in the field</w:t>
      </w:r>
      <w:r w:rsidR="00035B7C" w:rsidRPr="00E4287A">
        <w:rPr>
          <w:color w:val="000000" w:themeColor="text1"/>
        </w:rPr>
        <w:t>; faculty are based in PEDSnet institutions</w:t>
      </w:r>
      <w:r w:rsidR="00ED32DA" w:rsidRPr="00E4287A">
        <w:rPr>
          <w:color w:val="000000" w:themeColor="text1"/>
        </w:rPr>
        <w:t>;</w:t>
      </w:r>
    </w:p>
    <w:p w14:paraId="5BDBE152" w14:textId="4859617E" w:rsidR="000D4341" w:rsidRPr="00E4287A" w:rsidRDefault="000D4341" w:rsidP="000D4341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E4287A">
        <w:rPr>
          <w:color w:val="000000" w:themeColor="text1"/>
        </w:rPr>
        <w:t xml:space="preserve">Scholars will master a core LHS curriculum that will </w:t>
      </w:r>
      <w:r w:rsidR="002648B1" w:rsidRPr="00E4287A">
        <w:rPr>
          <w:color w:val="000000" w:themeColor="text1"/>
        </w:rPr>
        <w:t xml:space="preserve">focus on </w:t>
      </w:r>
      <w:r w:rsidRPr="00E4287A">
        <w:rPr>
          <w:color w:val="000000" w:themeColor="text1"/>
        </w:rPr>
        <w:t xml:space="preserve">the </w:t>
      </w:r>
      <w:r w:rsidR="00107E8D" w:rsidRPr="00E4287A">
        <w:rPr>
          <w:color w:val="000000" w:themeColor="text1"/>
        </w:rPr>
        <w:t>AHRQ LHS research competencies</w:t>
      </w:r>
      <w:r w:rsidRPr="00E4287A">
        <w:rPr>
          <w:color w:val="000000" w:themeColor="text1"/>
        </w:rPr>
        <w:t xml:space="preserve"> and relevant</w:t>
      </w:r>
      <w:r w:rsidR="00107E8D" w:rsidRPr="00E4287A">
        <w:rPr>
          <w:color w:val="000000" w:themeColor="text1"/>
        </w:rPr>
        <w:t xml:space="preserve"> PCORI Methodol</w:t>
      </w:r>
      <w:r w:rsidR="00A25D08" w:rsidRPr="00E4287A">
        <w:rPr>
          <w:color w:val="000000" w:themeColor="text1"/>
        </w:rPr>
        <w:t>ogy Standards</w:t>
      </w:r>
      <w:r w:rsidR="00ED32DA" w:rsidRPr="00E4287A">
        <w:rPr>
          <w:color w:val="000000" w:themeColor="text1"/>
        </w:rPr>
        <w:t>;</w:t>
      </w:r>
    </w:p>
    <w:p w14:paraId="34A5DA4A" w14:textId="21EF5D1D" w:rsidR="00107E8D" w:rsidRPr="00E4287A" w:rsidRDefault="000D4341" w:rsidP="000D4341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E4287A">
        <w:rPr>
          <w:color w:val="000000" w:themeColor="text1"/>
        </w:rPr>
        <w:t xml:space="preserve">Scholars will be exposed </w:t>
      </w:r>
      <w:r w:rsidR="00A25D08" w:rsidRPr="00E4287A">
        <w:rPr>
          <w:color w:val="000000" w:themeColor="text1"/>
        </w:rPr>
        <w:t xml:space="preserve">to </w:t>
      </w:r>
      <w:r w:rsidR="00107E8D" w:rsidRPr="00E4287A">
        <w:rPr>
          <w:color w:val="000000" w:themeColor="text1"/>
        </w:rPr>
        <w:t>related topics such as child/family-centered outcomes in ob</w:t>
      </w:r>
      <w:r w:rsidR="00C45416" w:rsidRPr="00E4287A">
        <w:rPr>
          <w:color w:val="000000" w:themeColor="text1"/>
        </w:rPr>
        <w:t>servational and interventional r</w:t>
      </w:r>
      <w:r w:rsidR="00107E8D" w:rsidRPr="00E4287A">
        <w:rPr>
          <w:color w:val="000000" w:themeColor="text1"/>
        </w:rPr>
        <w:t>esearch, stakeholder engagement, implementation science, applied informatics</w:t>
      </w:r>
      <w:r w:rsidR="00035B7C" w:rsidRPr="00E4287A">
        <w:rPr>
          <w:color w:val="000000" w:themeColor="text1"/>
        </w:rPr>
        <w:t>, leadership, and quality improvement</w:t>
      </w:r>
    </w:p>
    <w:p w14:paraId="59B40BDE" w14:textId="27FE0786" w:rsidR="00C45416" w:rsidRPr="00E4287A" w:rsidRDefault="000D4341" w:rsidP="00107E8D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E4287A">
        <w:rPr>
          <w:color w:val="000000" w:themeColor="text1"/>
        </w:rPr>
        <w:t xml:space="preserve">Monthly, mandatory </w:t>
      </w:r>
      <w:r w:rsidR="00107E8D" w:rsidRPr="00E4287A">
        <w:rPr>
          <w:color w:val="000000" w:themeColor="text1"/>
        </w:rPr>
        <w:t xml:space="preserve">PEDSnet Scholar </w:t>
      </w:r>
      <w:r w:rsidR="00C45416" w:rsidRPr="00E4287A">
        <w:rPr>
          <w:color w:val="000000" w:themeColor="text1"/>
        </w:rPr>
        <w:t>videoconferences</w:t>
      </w:r>
      <w:r w:rsidR="00ED32DA" w:rsidRPr="00E4287A">
        <w:rPr>
          <w:color w:val="000000" w:themeColor="text1"/>
        </w:rPr>
        <w:t>;</w:t>
      </w:r>
    </w:p>
    <w:p w14:paraId="6B382C52" w14:textId="12D445DA" w:rsidR="00107E8D" w:rsidRPr="00E4287A" w:rsidRDefault="00A25D08" w:rsidP="00107E8D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E4287A">
        <w:rPr>
          <w:color w:val="000000" w:themeColor="text1"/>
        </w:rPr>
        <w:t>PEDSnet Scholar i</w:t>
      </w:r>
      <w:r w:rsidR="00107E8D" w:rsidRPr="00E4287A">
        <w:rPr>
          <w:color w:val="000000" w:themeColor="text1"/>
        </w:rPr>
        <w:t>n-person training workshops/institutional site visits</w:t>
      </w:r>
      <w:r w:rsidRPr="00E4287A">
        <w:rPr>
          <w:color w:val="000000" w:themeColor="text1"/>
        </w:rPr>
        <w:t xml:space="preserve"> (</w:t>
      </w:r>
      <w:r w:rsidR="00E03D9F">
        <w:rPr>
          <w:color w:val="000000" w:themeColor="text1"/>
        </w:rPr>
        <w:t>1</w:t>
      </w:r>
      <w:r w:rsidR="00E03D9F" w:rsidRPr="00E4287A">
        <w:rPr>
          <w:color w:val="000000" w:themeColor="text1"/>
        </w:rPr>
        <w:t xml:space="preserve"> </w:t>
      </w:r>
      <w:r w:rsidR="00C45416" w:rsidRPr="00E4287A">
        <w:rPr>
          <w:color w:val="000000" w:themeColor="text1"/>
        </w:rPr>
        <w:t>per year</w:t>
      </w:r>
      <w:r w:rsidR="00E03D9F">
        <w:rPr>
          <w:color w:val="000000" w:themeColor="text1"/>
        </w:rPr>
        <w:t xml:space="preserve"> as permitted by institutional travel guidelines</w:t>
      </w:r>
      <w:proofErr w:type="gramStart"/>
      <w:r w:rsidR="00C45416" w:rsidRPr="00E4287A">
        <w:rPr>
          <w:color w:val="000000" w:themeColor="text1"/>
        </w:rPr>
        <w:t>)</w:t>
      </w:r>
      <w:r w:rsidR="00ED32DA" w:rsidRPr="00E4287A">
        <w:rPr>
          <w:color w:val="000000" w:themeColor="text1"/>
        </w:rPr>
        <w:t>;</w:t>
      </w:r>
      <w:proofErr w:type="gramEnd"/>
    </w:p>
    <w:p w14:paraId="65093C79" w14:textId="60523E50" w:rsidR="00A25D08" w:rsidRPr="00E4287A" w:rsidRDefault="00A25D08" w:rsidP="00A25D08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E4287A">
        <w:rPr>
          <w:color w:val="000000" w:themeColor="text1"/>
        </w:rPr>
        <w:t>On-line Improvement and Implementation Science Resources</w:t>
      </w:r>
      <w:r w:rsidR="00ED32DA" w:rsidRPr="00E4287A">
        <w:rPr>
          <w:color w:val="000000" w:themeColor="text1"/>
        </w:rPr>
        <w:t>; and</w:t>
      </w:r>
    </w:p>
    <w:p w14:paraId="7B626025" w14:textId="77777777" w:rsidR="001F38D6" w:rsidRDefault="002648B1" w:rsidP="009F330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9F3307">
        <w:rPr>
          <w:rFonts w:ascii="Arial" w:hAnsi="Arial" w:cs="Arial"/>
          <w:color w:val="000000" w:themeColor="text1"/>
        </w:rPr>
        <w:t>A</w:t>
      </w:r>
      <w:r w:rsidR="00A25D08" w:rsidRPr="009F3307">
        <w:rPr>
          <w:rFonts w:ascii="Arial" w:hAnsi="Arial" w:cs="Arial"/>
          <w:color w:val="000000" w:themeColor="text1"/>
        </w:rPr>
        <w:t xml:space="preserve"> p</w:t>
      </w:r>
      <w:r w:rsidR="00107E8D" w:rsidRPr="009F3307">
        <w:rPr>
          <w:rFonts w:ascii="Arial" w:hAnsi="Arial" w:cs="Arial"/>
          <w:color w:val="000000" w:themeColor="text1"/>
        </w:rPr>
        <w:t>ersonal mentorship team that includes a research scientist, a health systems leader, and a scientist from another institution within PEDSnet</w:t>
      </w:r>
      <w:r w:rsidR="00EB489A" w:rsidRPr="009F3307">
        <w:rPr>
          <w:rFonts w:ascii="Arial" w:hAnsi="Arial" w:cs="Arial"/>
          <w:color w:val="000000" w:themeColor="text1"/>
        </w:rPr>
        <w:t>.</w:t>
      </w:r>
      <w:r w:rsidR="00E4287A" w:rsidRPr="009F3307">
        <w:rPr>
          <w:rFonts w:ascii="Arial" w:hAnsi="Arial" w:cs="Arial"/>
          <w:color w:val="000000" w:themeColor="text1"/>
        </w:rPr>
        <w:t xml:space="preserve"> </w:t>
      </w:r>
    </w:p>
    <w:p w14:paraId="51E3F1A8" w14:textId="35417C57" w:rsidR="009F3307" w:rsidRPr="001F38D6" w:rsidRDefault="001F38D6" w:rsidP="009F3307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 w:themeColor="text1"/>
        </w:rPr>
      </w:pPr>
      <w:r w:rsidRPr="001F38D6">
        <w:rPr>
          <w:rFonts w:ascii="Arial" w:hAnsi="Arial" w:cs="Arial"/>
          <w:i/>
          <w:color w:val="000000" w:themeColor="text1"/>
        </w:rPr>
        <w:t>P</w:t>
      </w:r>
      <w:r w:rsidR="009F3307" w:rsidRPr="001F38D6">
        <w:rPr>
          <w:rFonts w:ascii="Arial" w:hAnsi="Arial" w:cs="Arial"/>
          <w:i/>
          <w:color w:val="000000" w:themeColor="text1"/>
        </w:rPr>
        <w:t>lease refer to the 20</w:t>
      </w:r>
      <w:r w:rsidR="00E03D9F">
        <w:rPr>
          <w:rFonts w:ascii="Arial" w:hAnsi="Arial" w:cs="Arial"/>
          <w:i/>
          <w:color w:val="000000" w:themeColor="text1"/>
        </w:rPr>
        <w:t>21</w:t>
      </w:r>
      <w:r w:rsidR="009F3307" w:rsidRPr="001F38D6">
        <w:rPr>
          <w:rFonts w:ascii="Arial" w:hAnsi="Arial" w:cs="Arial"/>
          <w:i/>
          <w:color w:val="000000" w:themeColor="text1"/>
        </w:rPr>
        <w:t>-2</w:t>
      </w:r>
      <w:r w:rsidR="00E03D9F">
        <w:rPr>
          <w:rFonts w:ascii="Arial" w:hAnsi="Arial" w:cs="Arial"/>
          <w:i/>
          <w:color w:val="000000" w:themeColor="text1"/>
        </w:rPr>
        <w:t>2</w:t>
      </w:r>
      <w:r w:rsidR="009F3307" w:rsidRPr="001F38D6">
        <w:rPr>
          <w:rFonts w:ascii="Arial" w:hAnsi="Arial" w:cs="Arial"/>
          <w:i/>
          <w:color w:val="000000" w:themeColor="text1"/>
        </w:rPr>
        <w:t xml:space="preserve"> program syllabus for curriculum. </w:t>
      </w:r>
    </w:p>
    <w:p w14:paraId="15CCC890" w14:textId="6C370A3C" w:rsidR="001F11AC" w:rsidRDefault="001F11AC" w:rsidP="009F3307">
      <w:pPr>
        <w:rPr>
          <w:rFonts w:ascii="Arial" w:hAnsi="Arial" w:cs="Arial"/>
          <w:color w:val="000000" w:themeColor="text1"/>
        </w:rPr>
      </w:pPr>
    </w:p>
    <w:p w14:paraId="6C3960AA" w14:textId="77777777" w:rsidR="001F38D6" w:rsidRDefault="001F38D6" w:rsidP="009F3307">
      <w:pPr>
        <w:rPr>
          <w:rFonts w:ascii="Arial" w:hAnsi="Arial" w:cs="Arial"/>
          <w:color w:val="000000" w:themeColor="text1"/>
        </w:rPr>
      </w:pPr>
    </w:p>
    <w:p w14:paraId="16909C68" w14:textId="78C3335C" w:rsidR="001F11AC" w:rsidRPr="009F3307" w:rsidRDefault="001F38D6" w:rsidP="001F38D6">
      <w:pPr>
        <w:pStyle w:val="Default"/>
        <w:rPr>
          <w:color w:val="000000" w:themeColor="text1"/>
        </w:rPr>
      </w:pPr>
      <w:r>
        <w:rPr>
          <w:b/>
          <w:color w:val="000000" w:themeColor="text1"/>
        </w:rPr>
        <w:t xml:space="preserve">Application due date: </w:t>
      </w:r>
      <w:r w:rsidR="00E03D9F">
        <w:rPr>
          <w:b/>
          <w:color w:val="000000" w:themeColor="text1"/>
        </w:rPr>
        <w:t>May 6</w:t>
      </w:r>
      <w:r>
        <w:rPr>
          <w:b/>
          <w:color w:val="000000" w:themeColor="text1"/>
        </w:rPr>
        <w:t>, 202</w:t>
      </w:r>
      <w:r w:rsidR="00E03D9F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. </w:t>
      </w:r>
      <w:r w:rsidR="001F11AC">
        <w:rPr>
          <w:color w:val="000000" w:themeColor="text1"/>
        </w:rPr>
        <w:t xml:space="preserve">Please refer to the </w:t>
      </w:r>
      <w:r w:rsidR="001F11AC" w:rsidRPr="001F11AC">
        <w:rPr>
          <w:b/>
          <w:color w:val="000000" w:themeColor="text1"/>
        </w:rPr>
        <w:t xml:space="preserve">Application </w:t>
      </w:r>
      <w:r>
        <w:rPr>
          <w:b/>
          <w:color w:val="000000" w:themeColor="text1"/>
        </w:rPr>
        <w:t>I</w:t>
      </w:r>
      <w:r w:rsidR="001F11AC" w:rsidRPr="001F38D6">
        <w:rPr>
          <w:b/>
          <w:color w:val="000000" w:themeColor="text1"/>
        </w:rPr>
        <w:t>n</w:t>
      </w:r>
      <w:r w:rsidR="001F11AC" w:rsidRPr="001F11AC">
        <w:rPr>
          <w:b/>
          <w:color w:val="000000" w:themeColor="text1"/>
        </w:rPr>
        <w:t>structions</w:t>
      </w:r>
      <w:r w:rsidR="001F11AC">
        <w:rPr>
          <w:color w:val="000000" w:themeColor="text1"/>
        </w:rPr>
        <w:t xml:space="preserve"> document for additional details. </w:t>
      </w:r>
    </w:p>
    <w:sectPr w:rsidR="001F11AC" w:rsidRPr="009F3307" w:rsidSect="00035B7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0430" w14:textId="77777777" w:rsidR="00C55CBC" w:rsidRDefault="00C55CBC" w:rsidP="00C6125B">
      <w:r>
        <w:separator/>
      </w:r>
    </w:p>
  </w:endnote>
  <w:endnote w:type="continuationSeparator" w:id="0">
    <w:p w14:paraId="4592B14C" w14:textId="77777777" w:rsidR="00C55CBC" w:rsidRDefault="00C55CBC" w:rsidP="00C6125B">
      <w:r>
        <w:continuationSeparator/>
      </w:r>
    </w:p>
  </w:endnote>
  <w:endnote w:type="continuationNotice" w:id="1">
    <w:p w14:paraId="059B090F" w14:textId="77777777" w:rsidR="00C55CBC" w:rsidRDefault="00C55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9307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A52BB0" w14:textId="5C8BA9D1" w:rsidR="002648B1" w:rsidRDefault="002648B1" w:rsidP="00420FB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62AD74" w14:textId="77777777" w:rsidR="002648B1" w:rsidRDefault="00264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0202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3BE62E" w14:textId="219C4F31" w:rsidR="002648B1" w:rsidRDefault="002648B1" w:rsidP="00420FB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0526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B08F41B" w14:textId="77777777" w:rsidR="00C6125B" w:rsidRPr="00B765E7" w:rsidRDefault="00C6125B" w:rsidP="00C6125B">
    <w:pPr>
      <w:pStyle w:val="Footer"/>
      <w:rPr>
        <w:rFonts w:ascii="Garamond" w:hAnsi="Garamond"/>
        <w:i/>
        <w:sz w:val="20"/>
        <w:szCs w:val="20"/>
      </w:rPr>
    </w:pPr>
  </w:p>
  <w:p w14:paraId="0189A500" w14:textId="77777777" w:rsidR="00C6125B" w:rsidRPr="00C6125B" w:rsidRDefault="00C6125B">
    <w:pP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E279" w14:textId="77777777" w:rsidR="00C55CBC" w:rsidRDefault="00C55CBC" w:rsidP="00C6125B">
      <w:r>
        <w:separator/>
      </w:r>
    </w:p>
  </w:footnote>
  <w:footnote w:type="continuationSeparator" w:id="0">
    <w:p w14:paraId="664FBE50" w14:textId="77777777" w:rsidR="00C55CBC" w:rsidRDefault="00C55CBC" w:rsidP="00C6125B">
      <w:r>
        <w:continuationSeparator/>
      </w:r>
    </w:p>
  </w:footnote>
  <w:footnote w:type="continuationNotice" w:id="1">
    <w:p w14:paraId="1C67B2BA" w14:textId="77777777" w:rsidR="00C55CBC" w:rsidRDefault="00C55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870E" w14:textId="3E58C61D" w:rsidR="00C6125B" w:rsidRDefault="00C6125B" w:rsidP="00E03D9F">
    <w:pPr>
      <w:rPr>
        <w:rFonts w:ascii="Optima" w:hAnsi="Optima"/>
      </w:rPr>
    </w:pPr>
    <w:r w:rsidRPr="00E45125">
      <w:rPr>
        <w:rFonts w:ascii="Optima" w:hAnsi="Optima"/>
      </w:rPr>
      <w:t>L</w:t>
    </w:r>
    <w:r w:rsidR="00B04D13" w:rsidRPr="00E45125">
      <w:rPr>
        <w:rFonts w:ascii="Optima" w:hAnsi="Optima"/>
      </w:rPr>
      <w:t xml:space="preserve">ast updated: </w:t>
    </w:r>
    <w:r w:rsidR="00E03D9F">
      <w:rPr>
        <w:rFonts w:ascii="Optima" w:hAnsi="Optima"/>
      </w:rPr>
      <w:t>2022-</w:t>
    </w:r>
    <w:r w:rsidR="00D462EE">
      <w:rPr>
        <w:rFonts w:ascii="Optima" w:hAnsi="Optima"/>
      </w:rPr>
      <w:t>02-02</w:t>
    </w:r>
  </w:p>
  <w:p w14:paraId="6EB51163" w14:textId="77777777" w:rsidR="00D462EE" w:rsidRDefault="00D462EE" w:rsidP="00E03D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829"/>
    <w:multiLevelType w:val="hybridMultilevel"/>
    <w:tmpl w:val="1EC27C04"/>
    <w:lvl w:ilvl="0" w:tplc="C1BA8B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25DF5"/>
    <w:multiLevelType w:val="hybridMultilevel"/>
    <w:tmpl w:val="FFDEB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44E8E"/>
    <w:multiLevelType w:val="hybridMultilevel"/>
    <w:tmpl w:val="DFD0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D52"/>
    <w:multiLevelType w:val="hybridMultilevel"/>
    <w:tmpl w:val="E3642DB2"/>
    <w:lvl w:ilvl="0" w:tplc="FB9C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6276"/>
    <w:multiLevelType w:val="multilevel"/>
    <w:tmpl w:val="470A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B0908"/>
    <w:multiLevelType w:val="multilevel"/>
    <w:tmpl w:val="CAD60E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1678"/>
    <w:multiLevelType w:val="hybridMultilevel"/>
    <w:tmpl w:val="576C49AA"/>
    <w:lvl w:ilvl="0" w:tplc="7E924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C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04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E0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6D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43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C7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42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EA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05E42"/>
    <w:multiLevelType w:val="hybridMultilevel"/>
    <w:tmpl w:val="AC64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3FD1"/>
    <w:multiLevelType w:val="hybridMultilevel"/>
    <w:tmpl w:val="CED6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4A3C"/>
    <w:multiLevelType w:val="hybridMultilevel"/>
    <w:tmpl w:val="313071B4"/>
    <w:lvl w:ilvl="0" w:tplc="FB9C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9C4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37AF2"/>
    <w:multiLevelType w:val="hybridMultilevel"/>
    <w:tmpl w:val="C2C22FF0"/>
    <w:lvl w:ilvl="0" w:tplc="FB9C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E07EA"/>
    <w:multiLevelType w:val="multilevel"/>
    <w:tmpl w:val="3912C2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5199E"/>
    <w:multiLevelType w:val="hybridMultilevel"/>
    <w:tmpl w:val="02C6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E4384"/>
    <w:multiLevelType w:val="hybridMultilevel"/>
    <w:tmpl w:val="C04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82A41"/>
    <w:multiLevelType w:val="hybridMultilevel"/>
    <w:tmpl w:val="916E9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163CA0"/>
    <w:multiLevelType w:val="hybridMultilevel"/>
    <w:tmpl w:val="837E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C1481"/>
    <w:multiLevelType w:val="hybridMultilevel"/>
    <w:tmpl w:val="A3F8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F6C7E"/>
    <w:multiLevelType w:val="hybridMultilevel"/>
    <w:tmpl w:val="D36A3F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C92AA1"/>
    <w:multiLevelType w:val="hybridMultilevel"/>
    <w:tmpl w:val="2E98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16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A7"/>
    <w:rsid w:val="000026AB"/>
    <w:rsid w:val="00020735"/>
    <w:rsid w:val="00035B7C"/>
    <w:rsid w:val="00055245"/>
    <w:rsid w:val="00060C19"/>
    <w:rsid w:val="00071466"/>
    <w:rsid w:val="0007207C"/>
    <w:rsid w:val="00072769"/>
    <w:rsid w:val="000741AF"/>
    <w:rsid w:val="00080027"/>
    <w:rsid w:val="0008023E"/>
    <w:rsid w:val="000842A7"/>
    <w:rsid w:val="000A0D6A"/>
    <w:rsid w:val="000B01F1"/>
    <w:rsid w:val="000B256A"/>
    <w:rsid w:val="000B7B1D"/>
    <w:rsid w:val="000D4341"/>
    <w:rsid w:val="000E0841"/>
    <w:rsid w:val="00107E8D"/>
    <w:rsid w:val="00127538"/>
    <w:rsid w:val="00147768"/>
    <w:rsid w:val="0015150E"/>
    <w:rsid w:val="00175337"/>
    <w:rsid w:val="00193D28"/>
    <w:rsid w:val="001963BA"/>
    <w:rsid w:val="00197BD2"/>
    <w:rsid w:val="001F11AC"/>
    <w:rsid w:val="001F38D6"/>
    <w:rsid w:val="001F4649"/>
    <w:rsid w:val="002049FD"/>
    <w:rsid w:val="0023613D"/>
    <w:rsid w:val="002648B1"/>
    <w:rsid w:val="00293016"/>
    <w:rsid w:val="002A59B3"/>
    <w:rsid w:val="002B7165"/>
    <w:rsid w:val="003169ED"/>
    <w:rsid w:val="00351DFE"/>
    <w:rsid w:val="00392C4F"/>
    <w:rsid w:val="003A10C4"/>
    <w:rsid w:val="003C6526"/>
    <w:rsid w:val="003D3CB1"/>
    <w:rsid w:val="003D5B46"/>
    <w:rsid w:val="003F5B28"/>
    <w:rsid w:val="0041741F"/>
    <w:rsid w:val="00420FB3"/>
    <w:rsid w:val="0045639D"/>
    <w:rsid w:val="004662D0"/>
    <w:rsid w:val="004669FF"/>
    <w:rsid w:val="00483089"/>
    <w:rsid w:val="004C6224"/>
    <w:rsid w:val="004F2365"/>
    <w:rsid w:val="00525F2E"/>
    <w:rsid w:val="00541F20"/>
    <w:rsid w:val="0054617A"/>
    <w:rsid w:val="005529CA"/>
    <w:rsid w:val="005701E6"/>
    <w:rsid w:val="005803D2"/>
    <w:rsid w:val="005D1980"/>
    <w:rsid w:val="005E1BA1"/>
    <w:rsid w:val="005E2C2E"/>
    <w:rsid w:val="00622EB2"/>
    <w:rsid w:val="0066713E"/>
    <w:rsid w:val="00692B82"/>
    <w:rsid w:val="006B5455"/>
    <w:rsid w:val="006E20A5"/>
    <w:rsid w:val="00730094"/>
    <w:rsid w:val="00744668"/>
    <w:rsid w:val="007F17A4"/>
    <w:rsid w:val="00805268"/>
    <w:rsid w:val="00852C74"/>
    <w:rsid w:val="00880159"/>
    <w:rsid w:val="00891883"/>
    <w:rsid w:val="008A131B"/>
    <w:rsid w:val="008A7186"/>
    <w:rsid w:val="008F694C"/>
    <w:rsid w:val="009076A0"/>
    <w:rsid w:val="00923860"/>
    <w:rsid w:val="0093727D"/>
    <w:rsid w:val="00961B89"/>
    <w:rsid w:val="00976A64"/>
    <w:rsid w:val="00982971"/>
    <w:rsid w:val="009E6E33"/>
    <w:rsid w:val="009F3307"/>
    <w:rsid w:val="009F5D0B"/>
    <w:rsid w:val="00A25843"/>
    <w:rsid w:val="00A25D08"/>
    <w:rsid w:val="00A916DC"/>
    <w:rsid w:val="00AE4FBF"/>
    <w:rsid w:val="00B04D13"/>
    <w:rsid w:val="00B13711"/>
    <w:rsid w:val="00B3539B"/>
    <w:rsid w:val="00B53C41"/>
    <w:rsid w:val="00B765E7"/>
    <w:rsid w:val="00B87C1D"/>
    <w:rsid w:val="00B905B8"/>
    <w:rsid w:val="00BF460A"/>
    <w:rsid w:val="00C26409"/>
    <w:rsid w:val="00C33BBF"/>
    <w:rsid w:val="00C45416"/>
    <w:rsid w:val="00C55CBC"/>
    <w:rsid w:val="00C6125B"/>
    <w:rsid w:val="00C61D89"/>
    <w:rsid w:val="00C74002"/>
    <w:rsid w:val="00C75430"/>
    <w:rsid w:val="00C85ACE"/>
    <w:rsid w:val="00C85D86"/>
    <w:rsid w:val="00CD5DD4"/>
    <w:rsid w:val="00D109C6"/>
    <w:rsid w:val="00D27F67"/>
    <w:rsid w:val="00D4072F"/>
    <w:rsid w:val="00D462EE"/>
    <w:rsid w:val="00D55AA4"/>
    <w:rsid w:val="00D76A1E"/>
    <w:rsid w:val="00D86F22"/>
    <w:rsid w:val="00DD1B79"/>
    <w:rsid w:val="00E03B1D"/>
    <w:rsid w:val="00E03D9F"/>
    <w:rsid w:val="00E4287A"/>
    <w:rsid w:val="00E45125"/>
    <w:rsid w:val="00E66869"/>
    <w:rsid w:val="00EA7343"/>
    <w:rsid w:val="00EB489A"/>
    <w:rsid w:val="00ED2BBA"/>
    <w:rsid w:val="00ED32DA"/>
    <w:rsid w:val="00F12151"/>
    <w:rsid w:val="00F14D5E"/>
    <w:rsid w:val="00F6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BC717"/>
  <w15:chartTrackingRefBased/>
  <w15:docId w15:val="{666C2378-D225-C544-B69A-93EB7A37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2A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84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42A7"/>
    <w:rPr>
      <w:b/>
      <w:bCs/>
    </w:rPr>
  </w:style>
  <w:style w:type="character" w:styleId="Hyperlink">
    <w:name w:val="Hyperlink"/>
    <w:basedOn w:val="DefaultParagraphFont"/>
    <w:uiPriority w:val="99"/>
    <w:unhideWhenUsed/>
    <w:rsid w:val="000842A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F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F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25B"/>
  </w:style>
  <w:style w:type="paragraph" w:styleId="Footer">
    <w:name w:val="footer"/>
    <w:basedOn w:val="Normal"/>
    <w:link w:val="FooterChar"/>
    <w:uiPriority w:val="99"/>
    <w:unhideWhenUsed/>
    <w:rsid w:val="00C61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5B"/>
  </w:style>
  <w:style w:type="table" w:styleId="TableGrid">
    <w:name w:val="Table Grid"/>
    <w:basedOn w:val="TableNormal"/>
    <w:uiPriority w:val="39"/>
    <w:rsid w:val="00C6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25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648B1"/>
  </w:style>
  <w:style w:type="paragraph" w:styleId="BalloonText">
    <w:name w:val="Balloon Text"/>
    <w:basedOn w:val="Normal"/>
    <w:link w:val="BalloonTextChar"/>
    <w:uiPriority w:val="99"/>
    <w:semiHidden/>
    <w:unhideWhenUsed/>
    <w:rsid w:val="00805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6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45125"/>
  </w:style>
  <w:style w:type="paragraph" w:styleId="Revision">
    <w:name w:val="Revision"/>
    <w:hidden/>
    <w:uiPriority w:val="99"/>
    <w:semiHidden/>
    <w:rsid w:val="00E45125"/>
  </w:style>
  <w:style w:type="paragraph" w:styleId="BodyText">
    <w:name w:val="Body Text"/>
    <w:basedOn w:val="Normal"/>
    <w:link w:val="BodyTextChar"/>
    <w:uiPriority w:val="1"/>
    <w:qFormat/>
    <w:rsid w:val="00ED32DA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D32DA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5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C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ne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snet.org/about/institu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Moon, Jeanhee H</cp:lastModifiedBy>
  <cp:revision>6</cp:revision>
  <cp:lastPrinted>2018-10-03T15:09:00Z</cp:lastPrinted>
  <dcterms:created xsi:type="dcterms:W3CDTF">2022-01-19T13:48:00Z</dcterms:created>
  <dcterms:modified xsi:type="dcterms:W3CDTF">2022-02-04T18:50:00Z</dcterms:modified>
</cp:coreProperties>
</file>